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全球交易风格智能体候选库与平台方案</w:t>
      </w:r>
    </w:p>
    <w:p>
      <w:pPr>
        <w:pStyle w:val="Subtitle"/>
      </w:pPr>
      <w:r>
        <w:t>全球人物研究  交易逻辑实验  比赛规则与分阶段上线</w:t>
      </w:r>
    </w:p>
    <w:p>
      <w:pPr>
        <w:pStyle w:val="SourceText"/>
        <w:keepNext w:val="0"/>
        <w:keepLines/>
      </w:pPr>
      <w:r>
        <w:t>2026年10月29日  第一版</w:t>
      </w:r>
    </w:p>
    <w:p>
      <w:pPr>
        <w:keepNext w:val="0"/>
        <w:keepLines/>
      </w:pPr>
      <w:r>
        <w:t>建议先用一个股票赛场验证透明记录与持续观看，再按地区扩展股票、期货和适用地区的加密资产专长赛。首批29位人物包含明确公开规则、需要代理建模及应暂缓参赛三类，不能将其一概称为可复制的本人交易系统。</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670"/>
        <w:gridCol w:w="8496"/>
      </w:tblGrid>
      <w:tr>
        <w:trPr>
          <w:tblHeader w:val="true"/>
          <w:cantSplit/>
        </w:trPr>
        <w:tc>
          <w:tcPr>
            <w:tcW w:type="dxa" w:w="1670"/>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阅读顺序</w:t>
            </w:r>
          </w:p>
        </w:tc>
        <w:tc>
          <w:tcPr>
            <w:tcW w:type="dxa" w:w="8496"/>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内容与用途</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平台方案</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首发阵容、排名、成交、风控、研究标准、页面、运行保障、资源与地区安排</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候选库总览</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29位人物的市场背景、方法方向与实现度，便于确定下一轮研究顺序</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逐人研究卡</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逐人风格、公开来源、可回测逻辑、数据、周期、限制及上线建议</w:t>
            </w:r>
          </w:p>
        </w:tc>
      </w:tr>
    </w:tbl>
    <w:p>
      <w:pPr>
        <w:keepNext w:val="0"/>
        <w:keepLines/>
      </w:pPr>
      <w:r/>
    </w:p>
    <w:p>
      <w:pPr>
        <w:keepNext w:val="0"/>
        <w:keepLines/>
      </w:pPr>
      <w:r>
        <w:rPr>
          <w:b/>
        </w:rPr>
        <w:t xml:space="preserve">使用边界  </w:t>
      </w:r>
      <w:r>
        <w:t>本版没有实际回测收益。所有新增阈值、退出条件和风险参数均须在实验前固定；公开历史教学规则也需要经过成交与数据核验，才能成为可信的本平台成绩。</w:t>
      </w:r>
    </w:p>
    <w:p>
      <w:pPr>
        <w:keepNext w:val="0"/>
        <w:keepLines/>
      </w:pPr>
      <w:r>
        <w:rPr>
          <w:b/>
        </w:rPr>
        <w:t xml:space="preserve">证据口径  </w:t>
      </w:r>
      <w:r>
        <w:t>人物资料等级 A 表示有本人或机构的一手原则；B 表示正式材料可靠但范围较窄或规则未完整核对；C 主要为第三方归属；D 缺少足够可重建的个人规则。等级针对方法论证据，不评判人物能力、审计业绩或商业授权。</w:t>
      </w:r>
    </w:p>
    <w:p>
      <w:pPr>
        <w:keepNext w:val="0"/>
        <w:keepLines/>
      </w:pPr>
      <w:r>
        <w:rPr>
          <w:b/>
        </w:rPr>
        <w:t xml:space="preserve">实现口径  </w:t>
      </w:r>
      <w:r>
        <w:t>实现度 高 表示公开局部规则相对明确；中 表示可做部分思想的代理实验；低 表示关键判断难以还原或资料不足。所有实现度都不代表能够盈利。</w:t>
      </w:r>
    </w:p>
    <w:p>
      <w:r>
        <w:br w:type="page"/>
      </w:r>
    </w:p>
    <w:p>
      <w:pPr>
        <w:pStyle w:val="Heading1"/>
      </w:pPr>
      <w:r>
        <w:t>1  项目定位与首发决策</w:t>
      </w:r>
    </w:p>
    <w:p>
      <w:pPr>
        <w:keepNext w:val="0"/>
        <w:keepLines/>
      </w:pPr>
      <w:r>
        <w:t>建议建设长期运行的全球交易流派 AI 联赛。用公众熟悉的投资人物引入不同投资思想，把资料依据、可执行规则和未来市场中的运行记录作为产品主体。面向全球用户，按地区与资产类别分阶段上线，先提供中文和英文界面。</w:t>
      </w:r>
    </w:p>
    <w:p>
      <w:pPr>
        <w:keepNext w:val="0"/>
        <w:keepLines/>
      </w:pPr>
      <w:r>
        <w:t>候选人物库同时覆盖长期投资者、主观交易者和系统化交易者。知名度不代表业绩已经独立核验。人物的公开思想、平台补充的工程假设、可核验成绩和商业授权状态应分别展示；任何一项不能替代其他项。</w:t>
      </w:r>
    </w:p>
    <w:p>
      <w:pPr>
        <w:keepNext w:val="0"/>
        <w:keepLines/>
      </w:pPr>
      <w:r>
        <w:t>本版提供候选研究材料与实验设计，尚未运行策略回测，也没有生成收益结果。可实现度评价针对公开方法的工程重建，不是盈利预测。</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670"/>
        <w:gridCol w:w="8496"/>
      </w:tblGrid>
      <w:tr>
        <w:trPr>
          <w:tblHeader w:val="true"/>
          <w:cantSplit/>
        </w:trPr>
        <w:tc>
          <w:tcPr>
            <w:tcW w:type="dxa" w:w="1670"/>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事项</w:t>
            </w:r>
          </w:p>
        </w:tc>
        <w:tc>
          <w:tcPr>
            <w:tcW w:type="dxa" w:w="8496"/>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第一版建议</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产品核心</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可持续观看的交易理念比赛，附可追溯研究与可核验记录</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地区安排</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统一人物与版本标准；按经营地区、用户地区和市场授权开放功能</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首发范围</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一个股票主赛场，6个风格选手与2个对照；其他市场先建研究档案</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资金与周期</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实时模拟资金；90天检验系统和兴趣，长期投资组持续至少12个月</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人物呈现</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先用独立命名的研究角色标明思想来源；获得许可后推出合作角色</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成绩呈现</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历史回测、实时模拟和真实账户分开；主榜从版本冻结后起算</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商业顺序</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免费观赛、研究订阅、创作者生态；交易执行与收益分成另立阶段</w:t>
            </w:r>
          </w:p>
        </w:tc>
      </w:tr>
    </w:tbl>
    <w:p>
      <w:pPr>
        <w:keepNext w:val="0"/>
        <w:keepLines/>
      </w:pPr>
      <w:r/>
    </w:p>
    <w:p>
      <w:pPr>
        <w:keepNext w:val="0"/>
        <w:keepLines/>
      </w:pPr>
      <w:r>
        <w:t>首轮验证的核心是用户是否持续追踪某种方法的决策，而不只是围观收益暴涨。应保留空仓、失败、退赛和升级历史，让比赛形成能够连续阅读的长期档案。</w:t>
      </w:r>
    </w:p>
    <w:p>
      <w:pPr>
        <w:keepNext w:val="0"/>
        <w:keepLines/>
      </w:pPr>
      <w:r>
        <w:t>全球国别展示按人物背景与主要职业地区标注。涉及移民、跨国执业或匿名人物时，不把出生地、工作地点或主要交易市场直接当作国籍，也不据此计算国家总冠军。</w:t>
      </w:r>
    </w:p>
    <w:p>
      <w:pPr>
        <w:pStyle w:val="Heading1"/>
      </w:pPr>
      <w:r>
        <w:t>2  首发阵容与扩展次序</w:t>
      </w:r>
    </w:p>
    <w:p>
      <w:pPr>
        <w:keepNext w:val="0"/>
        <w:keepLines/>
      </w:pPr>
      <w:r>
        <w:t>建议首个正式赛场采用美股流动性股票的日线模拟赛，原因是便于统一成交时点、覆盖多种股票流派并控制系统复杂度。最终标的池以能够取得历史时点数据和合法展示许可为前提；不能用今天的指数成分回填历史。若先取得A股数据，则保留同一架构并更换首发阵容。</w:t>
      </w:r>
    </w:p>
    <w:p>
      <w:pPr>
        <w:keepNext w:val="0"/>
        <w:keepLines/>
      </w:pPr>
      <w:r>
        <w:t>下表是研究角色的拟名与规则方向，不代表真人授权、官方合作或对当前本人组合的复制。同一人物的长期价值版本与短线实验版本不得混成一条成绩。</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757"/>
        <w:gridCol w:w="1829"/>
        <w:gridCol w:w="6581"/>
      </w:tblGrid>
      <w:tr>
        <w:trPr>
          <w:tblHeader w:val="true"/>
          <w:cantSplit/>
        </w:trPr>
        <w:tc>
          <w:tcPr>
            <w:tcW w:type="dxa" w:w="1757"/>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角色方向</w:t>
            </w:r>
          </w:p>
        </w:tc>
        <w:tc>
          <w:tcPr>
            <w:tcW w:type="dxa" w:w="1829"/>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思想来源</w:t>
            </w:r>
          </w:p>
        </w:tc>
        <w:tc>
          <w:tcPr>
            <w:tcW w:type="dxa" w:w="6581"/>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首发实现与边界</w:t>
            </w:r>
          </w:p>
        </w:tc>
      </w:tr>
      <w:tr>
        <w:trPr>
          <w:cantSplit/>
        </w:trPr>
        <w:tc>
          <w:tcPr>
            <w:tcW w:type="dxa" w:w="1757"/>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资产安全边际</w:t>
            </w:r>
          </w:p>
        </w:tc>
        <w:tc>
          <w:tcPr>
            <w:tcW w:type="dxa" w:w="1829"/>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Benjamin Graham</w:t>
            </w:r>
          </w:p>
        </w:tc>
        <w:tc>
          <w:tcPr>
            <w:tcW w:type="dxa" w:w="6581"/>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财务质量与净资产折价规则；当时报表及退市样本必须齐全</w:t>
            </w:r>
          </w:p>
        </w:tc>
      </w:tr>
      <w:tr>
        <w:trPr>
          <w:cantSplit/>
        </w:trPr>
        <w:tc>
          <w:tcPr>
            <w:tcW w:type="dxa" w:w="1757"/>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长期企业质量</w:t>
            </w:r>
          </w:p>
        </w:tc>
        <w:tc>
          <w:tcPr>
            <w:tcW w:type="dxa" w:w="1829"/>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Warren Buffett</w:t>
            </w:r>
          </w:p>
        </w:tc>
        <w:tc>
          <w:tcPr>
            <w:tcW w:type="dxa" w:w="6581"/>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质量与合理价格代理；不包含收购控制权和保险浮存金优势</w:t>
            </w:r>
          </w:p>
        </w:tc>
      </w:tr>
      <w:tr>
        <w:trPr>
          <w:cantSplit/>
        </w:trPr>
        <w:tc>
          <w:tcPr>
            <w:tcW w:type="dxa" w:w="1757"/>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成长估值平衡</w:t>
            </w:r>
          </w:p>
        </w:tc>
        <w:tc>
          <w:tcPr>
            <w:tcW w:type="dxa" w:w="1829"/>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Peter Lynch</w:t>
            </w:r>
          </w:p>
        </w:tc>
        <w:tc>
          <w:tcPr>
            <w:tcW w:type="dxa" w:w="6581"/>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增长、估值与负债筛选；行业分类与周期股须区别处理</w:t>
            </w:r>
          </w:p>
        </w:tc>
      </w:tr>
      <w:tr>
        <w:trPr>
          <w:cantSplit/>
        </w:trPr>
        <w:tc>
          <w:tcPr>
            <w:tcW w:type="dxa" w:w="1757"/>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盈利与价格强势</w:t>
            </w:r>
          </w:p>
        </w:tc>
        <w:tc>
          <w:tcPr>
            <w:tcW w:type="dxa" w:w="1829"/>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William O'Neil</w:t>
            </w:r>
          </w:p>
        </w:tc>
        <w:tc>
          <w:tcPr>
            <w:tcW w:type="dxa" w:w="6581"/>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公开CAN SLIM原则的部分量化；图形识别标准由平台固定</w:t>
            </w:r>
          </w:p>
        </w:tc>
      </w:tr>
      <w:tr>
        <w:trPr>
          <w:cantSplit/>
        </w:trPr>
        <w:tc>
          <w:tcPr>
            <w:tcW w:type="dxa" w:w="1757"/>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收缩后突破</w:t>
            </w:r>
          </w:p>
        </w:tc>
        <w:tc>
          <w:tcPr>
            <w:tcW w:type="dxa" w:w="1829"/>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Mark Minervini</w:t>
            </w:r>
          </w:p>
        </w:tc>
        <w:tc>
          <w:tcPr>
            <w:tcW w:type="dxa" w:w="6581"/>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趋势与波动收缩代理；不使用其官方AI名称或受限内容</w:t>
            </w:r>
          </w:p>
        </w:tc>
      </w:tr>
      <w:tr>
        <w:trPr>
          <w:cantSplit/>
        </w:trPr>
        <w:tc>
          <w:tcPr>
            <w:tcW w:type="dxa" w:w="1757"/>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上升趋势中回调</w:t>
            </w:r>
          </w:p>
        </w:tc>
        <w:tc>
          <w:tcPr>
            <w:tcW w:type="dxa" w:w="1829"/>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Nick Radge</w:t>
            </w:r>
          </w:p>
        </w:tc>
        <w:tc>
          <w:tcPr>
            <w:tcW w:type="dxa" w:w="6581"/>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复现已公开均值回归教学规则；跨澳美市场迁移单独标识</w:t>
            </w:r>
          </w:p>
        </w:tc>
      </w:tr>
      <w:tr>
        <w:trPr>
          <w:cantSplit/>
        </w:trPr>
        <w:tc>
          <w:tcPr>
            <w:tcW w:type="dxa" w:w="1757"/>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市场对照</w:t>
            </w:r>
          </w:p>
        </w:tc>
        <w:tc>
          <w:tcPr>
            <w:tcW w:type="dxa" w:w="1829"/>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非人物角色</w:t>
            </w:r>
          </w:p>
        </w:tc>
        <w:tc>
          <w:tcPr>
            <w:tcW w:type="dxa" w:w="6581"/>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可交易宽基ETF买入持有；记录分红与交易成本</w:t>
            </w:r>
          </w:p>
        </w:tc>
      </w:tr>
      <w:tr>
        <w:trPr>
          <w:cantSplit/>
        </w:trPr>
        <w:tc>
          <w:tcPr>
            <w:tcW w:type="dxa" w:w="1757"/>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模型对照</w:t>
            </w:r>
          </w:p>
        </w:tc>
        <w:tc>
          <w:tcPr>
            <w:tcW w:type="dxa" w:w="1829"/>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非人物角色</w:t>
            </w:r>
          </w:p>
        </w:tc>
        <w:tc>
          <w:tcPr>
            <w:tcW w:type="dxa" w:w="6581"/>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同一模型、数据、工具和预算，移除人物资料，检验风格设定增量</w:t>
            </w:r>
          </w:p>
        </w:tc>
      </w:tr>
    </w:tbl>
    <w:p>
      <w:pPr>
        <w:keepNext w:val="0"/>
        <w:keepLines/>
      </w:pPr>
      <w:r/>
    </w:p>
    <w:p>
      <w:pPr>
        <w:keepNext w:val="0"/>
        <w:keepLines/>
      </w:pPr>
      <w:r>
        <w:t>扩展时先增加原市场专长赛。中文股票组研究林园和李录；英国研究Bolton，印度研究Kedia，日本研究cis。期货组优先Dennis、Clenow等明确规则，再加入傅海棠的供需代理及葛卫东关联机构理念代理。巴西宏观与加拿大资源人物先建专题档案。</w:t>
      </w:r>
    </w:p>
    <w:p>
      <w:pPr>
        <w:keepNext w:val="0"/>
        <w:keepLines/>
      </w:pPr>
      <w:r>
        <w:t>加密组先研究Hayes的流动性框架、Burniske的网络基本面与Ari Paul的事件框架，在适用经营地区完成业务审查后独立开放。它们并非完整公开机械系统，不应因加密市场全天交易就强迫智能体频繁下单。</w:t>
      </w:r>
    </w:p>
    <w:p>
      <w:pPr>
        <w:keepNext w:val="0"/>
        <w:keepLines/>
      </w:pPr>
      <w:r>
        <w:t>方新侠、徐翔保留在人物研究库，暂不作为声称复刻本人系统的首发选手。资料可支持的匿名题材或公告事件策略，可以作为平台原创角色单独参加。</w:t>
      </w:r>
    </w:p>
    <w:p>
      <w:pPr>
        <w:keepNext w:val="0"/>
        <w:keepLines/>
      </w:pPr>
      <w:r>
        <w:t>为避免首发风格过于接近，O’Neil与Minervini先比较交易重合率、换手和因子暴露；若高度重叠，保留其中一个，另补Bolton逆向代理并标明跨市场适应实验。长期组与交易组分别展示，不能因为短期表现差就临时换掉选手。</w:t>
      </w:r>
    </w:p>
    <w:p>
      <w:pPr>
        <w:pStyle w:val="Heading1"/>
      </w:pPr>
      <w:r>
        <w:t>3  比赛规则与排名</w:t>
      </w:r>
    </w:p>
    <w:p>
      <w:pPr>
        <w:keepNext w:val="0"/>
        <w:keepLines/>
      </w:pPr>
      <w:r>
        <w:t>采用持续运行的专长联赛，另设可选的同场挑战。专长联赛保留各方法的市场与周期；同场挑战统一标的池和约束，成绩只解释为该条件下的适应能力。首发股票场按长期投资组与交易组分别解释表现；混合页面作为同场观察，不评定哪种理念总体更优。不同市场的绝对收益不直接合并。</w:t>
      </w:r>
    </w:p>
    <w:p>
      <w:pPr>
        <w:keepNext w:val="0"/>
        <w:keepLines/>
      </w:pPr>
      <w:r>
        <w:t>以下数值是第一版待预注册的赛制参数，并非行业标准或个人交易建议。公开试赛开始前固定所有参数和日历；正式赛季不得为改善某位选手的名次临时修改。</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670"/>
        <w:gridCol w:w="8496"/>
      </w:tblGrid>
      <w:tr>
        <w:trPr>
          <w:tblHeader w:val="true"/>
          <w:cantSplit/>
        </w:trPr>
        <w:tc>
          <w:tcPr>
            <w:tcW w:type="dxa" w:w="1670"/>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规则项</w:t>
            </w:r>
          </w:p>
        </w:tc>
        <w:tc>
          <w:tcPr>
            <w:tcW w:type="dxa" w:w="8496"/>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建议定义</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账户</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每账户同场初始10万单位本市场记账货币，净值100；无追加资金与重置</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赛季</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正式赛季固定为连续12个月；季度只作阶段观察，不重置净值、高点、停止线或参赛资格</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新选手</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从预定批次共同开始；中途加入先列观察组，不与完整赛季直接争冠</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主排名</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同组、同起止日且满足规则的账户按扣费后累计收益排序；年度评选冠军，季度标阶段领先</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并列</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按账本精度的累计收益严格排序；只有数值相同才以最大回撤较小者优先，其后并列</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辅助指标</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最大回撤、相对基准收益、波动率、换手率、持仓时长、费用与数据完整率</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风险调整榜</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运行满12个月且样本完整后单列；短期Sharpe只作带样本数的描述</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空仓</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允许长期空仓，不设最低交易次数；需记录等待条件，现金对照同时展示</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退出</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保留净值、原因和最后持仓；不得删除亏损账户或给新版本继承旧冠军记录</w:t>
            </w:r>
          </w:p>
        </w:tc>
      </w:tr>
    </w:tbl>
    <w:p>
      <w:pPr>
        <w:keepNext w:val="0"/>
        <w:keepLines/>
      </w:pPr>
      <w:r/>
    </w:p>
    <w:p>
      <w:pPr>
        <w:keepNext w:val="0"/>
        <w:keepLines/>
      </w:pPr>
      <w:r>
        <w:t>正式指标口径统一：日收益由相邻日末净值计算，费用和可实现分红计入。最大回撤按累计净值高点至后续低点计算；既展示日末口径，也在数据足够时显示盘中口径。相对收益默认展示策略累计收益减基准累计收益，避免将其误称为已剔除所有风险暴露的alpha。</w:t>
      </w:r>
    </w:p>
    <w:p>
      <w:pPr>
        <w:keepNext w:val="0"/>
        <w:keepLines/>
      </w:pPr>
      <w:r>
        <w:t>股票年化指标按该市场交易日口径，加密按365日口径；具体无风险利率或现金收益假设随赛季公开。海外合并观察页可换算统一币种，同时展示本币与汇率贡献，但不据此设跨市场总冠军。</w:t>
      </w:r>
    </w:p>
    <w:p>
      <w:pPr>
        <w:keepNext w:val="0"/>
        <w:keepLines/>
      </w:pPr>
      <w:r>
        <w:t>安全停止、强平和系统故障分别打标。因交易者达到预设风险停止线而退赛的账户不再争夺该季冠军，历史收益仍显示；因平台故障受影响的账户应按预先定义的事故规则处理。</w:t>
      </w:r>
    </w:p>
    <w:p>
      <w:pPr>
        <w:keepNext w:val="0"/>
        <w:keepLines/>
      </w:pPr>
      <w:r>
        <w:t>市场买入持有与现金基准属于非竞争参考账户，不触发选手的25%停止线，也不参与冠军评选。无人物设定的模型对照接受相同交易与风险约束，独立显示。基准的资金、分红、现金收益和费用假设随赛季固定。</w:t>
      </w:r>
    </w:p>
    <w:p>
      <w:pPr>
        <w:keepNext w:val="0"/>
        <w:keepLines/>
      </w:pPr>
      <w:r>
        <w:t>估值口径随赛季固定：股票按本市场正常收盘有效价格，净资产含现金、股票市值及符合权益登记规则的分红应收；期货按场所结算价计每日损益与结算后现金，保证金为受限资金，不重复扣作费用。加密观察日以UTC 00时切分，并锁定估值场所和价格类型。陈旧报价标记估值不完整；跨币种用同一指定时点汇率，汇率损益单列。</w:t>
      </w:r>
    </w:p>
    <w:p>
      <w:pPr>
        <w:pStyle w:val="Heading1"/>
      </w:pPr>
      <w:r>
        <w:t>4  风险约束与成交规则</w:t>
      </w:r>
    </w:p>
    <w:p>
      <w:pPr>
        <w:keepNext w:val="0"/>
        <w:keepLines/>
      </w:pPr>
      <w:r>
        <w:t>策略提出委托，由独立的风险与成交系统审核、定价和记账。模型无法修改自己的成交价格、删除委托或更改费用。所有选手使用同一赛道的相同数据包、可用工具、信息延迟和费用规则。</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670"/>
        <w:gridCol w:w="8496"/>
      </w:tblGrid>
      <w:tr>
        <w:trPr>
          <w:tblHeader w:val="true"/>
          <w:cantSplit/>
        </w:trPr>
        <w:tc>
          <w:tcPr>
            <w:tcW w:type="dxa" w:w="1670"/>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赛道</w:t>
            </w:r>
          </w:p>
        </w:tc>
        <w:tc>
          <w:tcPr>
            <w:tcW w:type="dxa" w:w="8496"/>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第一版风险限制</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股票首发</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只做多，不融资；总仓位≤100%，单股≤20%，同业≤40%；不足最低交易单位时不成交</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期货扩展</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名义总敞口≤净值200%，保证金占用≤30%；计划单笔止损损失≤0.5%，合计≤3%</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期货组合</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风险预算按相关资产组约束；目标年化波动10%作为可选统一覆盖层，并标明改变原教学规则</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加密扩展</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初期只做高流动性现货，总仓位≤100%，单资产≤40%；衍生品另开赛道</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停止线</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从赛季净值高点回撤达到25%后撤销开仓委托，按首个可成交时点减仓退出；不保证实际损失止于25%</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被动超限</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价格、汇率或保证金变化导致超限时禁止增加风险，按预注册顺序减仓，保留异常记录</w:t>
            </w:r>
          </w:p>
        </w:tc>
      </w:tr>
    </w:tbl>
    <w:p>
      <w:pPr>
        <w:keepNext w:val="0"/>
        <w:keepLines/>
      </w:pPr>
      <w:r/>
    </w:p>
    <w:p>
      <w:pPr>
        <w:keepNext w:val="0"/>
        <w:keepLines/>
      </w:pPr>
      <w:r>
        <w:t>日线首发采用明确时序：交易日收盘与数据可用后生成信号，下一交易日开盘或开盘后固定窗口成交。前一日作出的限价委托可以在随后时段检验成交；不得读取当天收盘信号后仍使用当天开盘价。决策时间、数据截止时间、系统接收时间和成交时间分别保存。</w:t>
      </w:r>
    </w:p>
    <w:p>
      <w:pPr>
        <w:keepNext w:val="0"/>
        <w:keepLines/>
      </w:pPr>
      <w:r>
        <w:t>原始可交易价格用于成交，公司行动用于持仓与现金记账。复权或回补连续序列可用于研究指标，但不可直接充当股票和期货的真实成交价格。期货按真实合约换月，逐腿计算成本，并处理交割限制、乘数与保证金历史变化。</w:t>
      </w:r>
    </w:p>
    <w:p>
      <w:pPr>
        <w:keepNext w:val="0"/>
        <w:keepLines/>
      </w:pPr>
      <w:r>
        <w:t>只有日线OHLC时，不能仅凭价格触碰就认定限价足量成交。同一根K线同时出现止损与止盈且无法辨识顺序时，使用预注册的保守顺序或更细数据；缺少足够数据则不支持相应订单类型。报价陈旧、停牌、一字价限与无对手盘时不得虚构成交。</w:t>
      </w:r>
    </w:p>
    <w:p>
      <w:pPr>
        <w:keepNext w:val="0"/>
        <w:keepLines/>
      </w:pPr>
      <w:r>
        <w:t>首发按上一交易日可知的20日平均成交额限制委托规模，并对成交窗口的实际成交量设置上限；不足部分顺延或取消。成交成本采用覆盖目标市场的经核实费税表与固定滑点情景，赛季锁定版本；另发布成本翻倍与延迟成交的压力结果。研究费率不能冒充某券商实时费率。</w:t>
      </w:r>
    </w:p>
    <w:p>
      <w:pPr>
        <w:keepNext w:val="0"/>
        <w:keepLines/>
      </w:pPr>
      <w:r>
        <w:t>股票各市场交易制度单独配置，A股处理当日买入卖出限制和分板块价限；做空未开放时不能模拟无限借券。永续合约后续若开放，需按具体交易场所处理资金费、标记价和强平，不能用现货收益直接代替合约收益。</w:t>
      </w:r>
    </w:p>
    <w:p>
      <w:pPr>
        <w:keepNext w:val="0"/>
        <w:keepLines/>
      </w:pPr>
      <w:r>
        <w:t>所有仓位、行业、止损预算和停止线均属于赛制覆盖层，会改变基础策略。每个版本分别保存原规则与覆盖层，统计拒单、减仓和退出次数；教学规则原样复核与竞赛改编成绩分开。风险校验同时计入持仓、有效挂单、费用及可能的部分成交，预占预算并在撮合前再次检查。止损损失上限是计划值，跳空和滑点可能使实际损失超出预算。</w:t>
      </w:r>
    </w:p>
    <w:p>
      <w:pPr>
        <w:pStyle w:val="SourceText"/>
        <w:keepNext/>
        <w:keepLines/>
      </w:pPr>
      <w:r>
        <w:t xml:space="preserve">依据1  </w:t>
      </w:r>
      <w:hyperlink r:id="rId9">
        <w:r>
          <w:rPr>
            <w:color w:val="194D78"/>
            <w:rFonts w:ascii="Arial" w:hAnsi="Arial" w:eastAsia="Songti SC"/>
            <w:sz w:val="18"/>
          </w:rPr>
          <w:t>上交所交易规则 2026年修订与暂缓条文</w:t>
        </w:r>
      </w:hyperlink>
    </w:p>
    <w:p>
      <w:pPr>
        <w:pStyle w:val="SourceText"/>
        <w:keepNext/>
        <w:keepLines/>
      </w:pPr>
      <w:r>
        <w:t xml:space="preserve">依据2  </w:t>
      </w:r>
      <w:hyperlink r:id="rId10">
        <w:r>
          <w:rPr>
            <w:color w:val="194D78"/>
            <w:rFonts w:ascii="Arial" w:hAnsi="Arial" w:eastAsia="Songti SC"/>
            <w:sz w:val="18"/>
          </w:rPr>
          <w:t>CME Continuous Price Series 定义及换月口径</w:t>
        </w:r>
      </w:hyperlink>
    </w:p>
    <w:p>
      <w:pPr>
        <w:pStyle w:val="SourceText"/>
        <w:keepNext/>
        <w:keepLines/>
      </w:pPr>
      <w:r>
        <w:t xml:space="preserve">依据3  </w:t>
      </w:r>
      <w:hyperlink r:id="rId11">
        <w:r>
          <w:rPr>
            <w:color w:val="194D78"/>
            <w:rFonts w:ascii="Arial" w:hAnsi="Arial" w:eastAsia="Songti SC"/>
            <w:sz w:val="18"/>
          </w:rPr>
          <w:t>Hyperliquid Funding</w:t>
        </w:r>
      </w:hyperlink>
    </w:p>
    <w:p>
      <w:pPr>
        <w:pStyle w:val="SourceText"/>
        <w:keepNext w:val="0"/>
        <w:keepLines/>
      </w:pPr>
      <w:r>
        <w:t xml:space="preserve">依据4  </w:t>
      </w:r>
      <w:hyperlink r:id="rId12">
        <w:r>
          <w:rPr>
            <w:color w:val="194D78"/>
            <w:rFonts w:ascii="Arial" w:hAnsi="Arial" w:eastAsia="Songti SC"/>
            <w:sz w:val="18"/>
          </w:rPr>
          <w:t>Hyperliquid Liquidations</w:t>
        </w:r>
      </w:hyperlink>
    </w:p>
    <w:p>
      <w:pPr>
        <w:pStyle w:val="Heading1"/>
      </w:pPr>
      <w:r>
        <w:t>5  研究与回测标准</w:t>
      </w:r>
    </w:p>
    <w:p>
      <w:pPr>
        <w:keepNext w:val="0"/>
        <w:keepLines/>
      </w:pPr>
      <w:r>
        <w:t>每个候选先做证据卡，再做可执行策略说明书。证据卡保存原文出处、出版或公开时间、材料范围和权限状态；说明书逐条标注本人已公开原则、公开教学规则与平台补充假设。可实现度高只说明可以清楚实现，不能说明策略有效或能复刻本人。</w:t>
      </w:r>
    </w:p>
    <w:p>
      <w:pPr>
        <w:keepNext w:val="0"/>
        <w:keepLines/>
      </w:pPr>
      <w:r>
        <w:t>研究阶段优先把可量化部分写成确定性规则。需要模型解释财报、行业或事件的部分，限定输入来源并保留引用；模型不得宣称完成了实际未进行的管理层访谈、产业调研或账户审计。首发不做无依据的相似度百分比。</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670"/>
        <w:gridCol w:w="8496"/>
      </w:tblGrid>
      <w:tr>
        <w:trPr>
          <w:tblHeader w:val="true"/>
          <w:cantSplit/>
        </w:trPr>
        <w:tc>
          <w:tcPr>
            <w:tcW w:type="dxa" w:w="1670"/>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检验</w:t>
            </w:r>
          </w:p>
        </w:tc>
        <w:tc>
          <w:tcPr>
            <w:tcW w:type="dxa" w:w="8496"/>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要求与交付</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时间隔离</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按时间划分研究、验证和封存检验期；参数只在研究期选择，最终检验只运行一次</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样本覆盖</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包括当时可投资且后来退市的标的；保留停牌、失败代币和当时行业归属</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时点信息</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财报、宏观、库存、公告与持仓披露均从实际公开后可用；保留历史修订版本</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多次尝试</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登记所有候选与参数试验；展示失败和未采用版本，进行滚动验证与多重检验控制</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执行成本</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基准费率、两倍成本、延迟成交、流动性与参数扰动均报告</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对照实验</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同数据下比较规则版本、规则加模型版本、无人物设定版本和简单市场基准</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复现材料</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数据清单与许可范围、版本、规则、费用、随机设置、逐笔委托与净值计算口径</w:t>
            </w:r>
          </w:p>
        </w:tc>
      </w:tr>
    </w:tbl>
    <w:p>
      <w:pPr>
        <w:keepNext w:val="0"/>
        <w:keepLines/>
      </w:pPr>
      <w:r/>
    </w:p>
    <w:p>
      <w:pPr>
        <w:keepNext w:val="0"/>
        <w:keepLines/>
      </w:pPr>
      <w:r>
        <w:t>大模型可能记得历史公司的结局。只隐藏未来K线不足以消除这种污染，匿名化名称也不能保证完全解决。保留模型历史决策的实验必须标注这一限制；正式成绩以版本冻结后的未来行情为核心。改成代码也不能消除研究者根据历史赢家挑选规则和参数的偏差。</w:t>
      </w:r>
    </w:p>
    <w:p>
      <w:pPr>
        <w:keepNext w:val="0"/>
        <w:keepLines/>
      </w:pPr>
      <w:r>
        <w:t>赛季冻结模型标识、提示词、资料库快照、代码、资产池、风险约束、数据供应和费用。模型供应商不能锁定版本时，记录每次返回的版本标识并将可比性受限的运行单列。升级产生新版本，新旧净值不拼接。</w:t>
      </w:r>
    </w:p>
    <w:p>
      <w:pPr>
        <w:keepNext w:val="0"/>
        <w:keepLines/>
      </w:pPr>
      <w:r>
        <w:t>风格检查使用可观察行为：持仓周期、换手、质量暴露、趋势暴露、空仓条件、加减仓与风险纪律。收益高不能单独证明风格一致；检验框架本身也需公开。</w:t>
      </w:r>
    </w:p>
    <w:p>
      <w:pPr>
        <w:keepNext w:val="0"/>
        <w:keepLines/>
      </w:pPr>
      <w:r>
        <w:t>人设资料和检索库也有时间边界。回测区间之后发表的书籍、访谈或复盘可用于今天的事后规则研究，但须注明；不得将其用于历史模型实验后声称当年已能获取。原始资料发布时间与平台首次收录时间分开保存。</w:t>
      </w:r>
    </w:p>
    <w:p>
      <w:pPr>
        <w:pStyle w:val="SourceText"/>
        <w:keepNext/>
        <w:keepLines/>
      </w:pPr>
      <w:r>
        <w:t xml:space="preserve">依据1  </w:t>
      </w:r>
      <w:hyperlink r:id="rId13">
        <w:r>
          <w:rPr>
            <w:color w:val="194D78"/>
            <w:rFonts w:ascii="Arial" w:hAnsi="Arial" w:eastAsia="Songti SC"/>
            <w:sz w:val="18"/>
          </w:rPr>
          <w:t>Glasserman与Lin 2023 大模型历史知识与回测偏差</w:t>
        </w:r>
      </w:hyperlink>
    </w:p>
    <w:p>
      <w:pPr>
        <w:pStyle w:val="SourceText"/>
        <w:keepNext w:val="0"/>
        <w:keepLines/>
      </w:pPr>
      <w:r>
        <w:t xml:space="preserve">依据2  </w:t>
      </w:r>
      <w:hyperlink r:id="rId14">
        <w:r>
          <w:rPr>
            <w:color w:val="194D78"/>
            <w:rFonts w:ascii="Arial" w:hAnsi="Arial" w:eastAsia="Songti SC"/>
            <w:sz w:val="18"/>
          </w:rPr>
          <w:t>Bailey与Lopez de Prado 2014 多次试验与Sharpe膨胀</w:t>
        </w:r>
      </w:hyperlink>
    </w:p>
    <w:p>
      <w:pPr>
        <w:pStyle w:val="Heading1"/>
      </w:pPr>
      <w:r>
        <w:t>6  平台页面与用户参与</w:t>
      </w:r>
    </w:p>
    <w:p>
      <w:pPr>
        <w:keepNext w:val="0"/>
        <w:keepLines/>
      </w:pPr>
      <w:r>
        <w:t>首页优先呈现有依据的决策分歧与净值变化。长期投资者没有交易时，展示等待条件、估值变化和论点是否仍成立，不为了制造内容让选手频繁交易。所有解说引用交易前已保存的依据；赛后判断作为新增复盘，不能覆盖原记录。</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670"/>
        <w:gridCol w:w="8496"/>
      </w:tblGrid>
      <w:tr>
        <w:trPr>
          <w:tblHeader w:val="true"/>
          <w:cantSplit/>
        </w:trPr>
        <w:tc>
          <w:tcPr>
            <w:tcW w:type="dxa" w:w="1670"/>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页面</w:t>
            </w:r>
          </w:p>
        </w:tc>
        <w:tc>
          <w:tcPr>
            <w:tcW w:type="dxa" w:w="8496"/>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用户可见内容</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观赛首页</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进行中的赛道、关键分歧、账户状态、近期决策和数据更新时间</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排行榜</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同赛道净值曲线、收益与回撤、基准、周期、费用、观察组和退赛档案</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选手档案</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思想来源、证据等级、参数假设、版本、适用市场、授权状态与能力边界</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交易记录</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决策依据、时间、委托、成交或拒单原因、成本及后续结果</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对照观察</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同一事件下不同选手的选择；规则版与模型版的并行记录</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研究实验室</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预设数据范围内选择版本与成本情景，复现实验并导出结果</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资料与社区</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带出处的研究卡、版本讨论、每周复盘；观点与官方事实分开</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规则与状态</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赛制、数据许可摘要、异常公告、版本更新和成绩更正历史</w:t>
            </w:r>
          </w:p>
        </w:tc>
      </w:tr>
    </w:tbl>
    <w:p>
      <w:pPr>
        <w:keepNext w:val="0"/>
        <w:keepLines/>
      </w:pPr>
      <w:r/>
    </w:p>
    <w:p>
      <w:pPr>
        <w:keepNext w:val="0"/>
        <w:keepLines/>
      </w:pPr>
      <w:r>
        <w:t>用户可关注选手、建立观察阵容、收藏决策、订阅每周回顾，并用不可兑现金积分预测某个窗口内的领先风格。积分与排行榜不改变账户资金，第一版不设置现金押注。提醒以持仓变化、论点失效和关键事件为主，避免每次小波动推送。</w:t>
      </w:r>
    </w:p>
    <w:p>
      <w:pPr>
        <w:keepNext w:val="0"/>
        <w:keepLines/>
      </w:pPr>
      <w:r>
        <w:t>增长内容围绕公开分歧组织，例如一轮下跌中谁加仓、谁退出、谁继续等待。每周制作可核验复盘与引用卡，完整保留亏损和错误预测；不给模拟研究体编造本人言论或个人经历。</w:t>
      </w:r>
    </w:p>
    <w:p>
      <w:pPr>
        <w:keepNext w:val="0"/>
        <w:keepLines/>
      </w:pPr>
      <w:r>
        <w:t>前90天优先记录四周重复观看率、关注选手后的回访率、决策详情阅读比例、主动分享比例，以及每百活跃观众的运行成本。先建立实际基线，再设增长目标；不以首日访问量替代留存。</w:t>
      </w:r>
    </w:p>
    <w:p>
      <w:pPr>
        <w:pStyle w:val="Heading1"/>
      </w:pPr>
      <w:r>
        <w:t>7  系统结构与运行保障</w:t>
      </w:r>
    </w:p>
    <w:p>
      <w:pPr>
        <w:keepNext w:val="0"/>
        <w:keepLines/>
      </w:pPr>
      <w:r>
        <w:t>系统按资料、策略、风控、成交、记账和展示拆分。资料库向策略提供带时间和出处的信息；策略只能提交结构化意图；风控审核后由成交系统执行模拟，统一账户账本计算净值，展示端读取已确认记录。模型负责规则允许的判断与说明，不能直接修改账户。</w:t>
      </w:r>
    </w:p>
    <w:p>
      <w:pPr>
        <w:keepNext w:val="0"/>
        <w:keepLines/>
      </w:pPr>
      <w:r>
        <w:t>同一赛季的参赛角色共享相同基础模型与工具预算，先比较思想设定。以后增加模型对抗时，使用相同规则版本分别运行，不把模型差异和人物差异混在一个不受控制的实验里。相同角色允许多个预先登记的随机重复运行，用于观察稳定性，不能只保留最好一条。</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670"/>
        <w:gridCol w:w="8496"/>
      </w:tblGrid>
      <w:tr>
        <w:trPr>
          <w:tblHeader w:val="true"/>
          <w:cantSplit/>
        </w:trPr>
        <w:tc>
          <w:tcPr>
            <w:tcW w:type="dxa" w:w="1670"/>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模块</w:t>
            </w:r>
          </w:p>
        </w:tc>
        <w:tc>
          <w:tcPr>
            <w:tcW w:type="dxa" w:w="8496"/>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首发职责</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资料与行情</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来源许可、首次可用时间、时区、历史版本、质量检查与备用源</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角色与策略</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证据到规则映射、版本冻结、定时或事件触发、输入快照与输出校验</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风险与成交</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统一资金限制、委托校验、延迟和费用、成交容量、幂等处理</w:t>
            </w:r>
          </w:p>
        </w:tc>
      </w:tr>
      <w:tr>
        <w:trPr>
          <w:cantSplit/>
        </w:trPr>
        <w:tc>
          <w:tcPr>
            <w:tcW w:type="dxa" w:w="1670"/>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账户与审计</w:t>
            </w:r>
          </w:p>
        </w:tc>
        <w:tc>
          <w:tcPr>
            <w:tcW w:type="dxa" w:w="849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追加式流水、每日对账、分红与换月、净值重算、备份和公开更正记录</w:t>
            </w:r>
          </w:p>
        </w:tc>
      </w:tr>
      <w:tr>
        <w:trPr>
          <w:cantSplit/>
        </w:trPr>
        <w:tc>
          <w:tcPr>
            <w:tcW w:type="dxa" w:w="1670"/>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产品与运营</w:t>
            </w:r>
          </w:p>
        </w:tc>
        <w:tc>
          <w:tcPr>
            <w:tcW w:type="dxa" w:w="849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中英文界面、地区开放开关、关注与提醒、内容复核和异常状态页</w:t>
            </w:r>
          </w:p>
        </w:tc>
      </w:tr>
    </w:tbl>
    <w:p>
      <w:pPr>
        <w:keepNext w:val="0"/>
        <w:keepLines/>
      </w:pPr>
      <w:r/>
    </w:p>
    <w:p>
      <w:pPr>
        <w:keepNext w:val="0"/>
        <w:keepLines/>
      </w:pPr>
      <w:r>
        <w:t>每次决策至少保存角色版本、模型标识、资料截止时间、可用数据摘要与校验值、决策依据、风险预算、委托有效期、拒单和成交记录。公开审计包可发布每日校验值，受许可限制的数据保留可核验摘要。校验值有助于发现改动，但不能单独证明原始数据正确。</w:t>
      </w:r>
    </w:p>
    <w:p>
      <w:pPr>
        <w:keepNext w:val="0"/>
        <w:keepLines/>
      </w:pPr>
      <w:r>
        <w:t>模型超时不构成自动清仓指令：不接收该轮新风险，原有风险退出由独立执行层管理。行情陈旧或全平台中断时停止新成交，持仓的市场损益继续存在，不得冻结收益；缺失时段不补做交易。恢复后先核对账户及时间，过期委托取消，仍有效委托重新校验后只按恢复后的可成交价格执行。</w:t>
      </w:r>
    </w:p>
    <w:p>
      <w:pPr>
        <w:keepNext w:val="0"/>
        <w:keepLines/>
      </w:pPr>
      <w:r>
        <w:t>净值错误应发布更正原因、影响时段和重算版本。原记录保留，禁止静默改写。首发应验证重复请求不会重复成交、数据中断不会虚假成交、持仓与现金能逐笔复算、权限外模型输入不能修改系统规则。</w:t>
      </w:r>
    </w:p>
    <w:p>
      <w:pPr>
        <w:keepNext w:val="0"/>
        <w:keepLines/>
      </w:pPr>
      <w:r>
        <w:t>若缺失行情可以由合规备用源重建，只重算估值，不补造委托与成交，并公开所用版本。无法可靠重建的时段须标记不可比；关键行情缺失超过赛季计划决策窗口5%或存在无法还原的账本差异时，该赛季只保留观察结果，不颁正式冠军。是否需要新赛季共同重启应另立版本，原记录永久保留。</w:t>
      </w:r>
    </w:p>
    <w:p>
      <w:pPr>
        <w:pStyle w:val="Heading1"/>
      </w:pPr>
      <w:r>
        <w:t>8  实施计划与资源安排</w:t>
      </w:r>
    </w:p>
    <w:p>
      <w:pPr>
        <w:keepNext w:val="0"/>
        <w:keepLines/>
      </w:pPr>
      <w:r>
        <w:t>以下是3至4人小团队的工作量估计，以一位策略研究负责人、两位工程人员及兼职设计或运营为基础。阶段时长可交叠，数据采购、许可与人物合作可能改变进度；它不是供应商报价或交付承诺。</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757"/>
        <w:gridCol w:w="1829"/>
        <w:gridCol w:w="6581"/>
      </w:tblGrid>
      <w:tr>
        <w:trPr>
          <w:tblHeader w:val="true"/>
          <w:cantSplit/>
        </w:trPr>
        <w:tc>
          <w:tcPr>
            <w:tcW w:type="dxa" w:w="1757"/>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阶段</w:t>
            </w:r>
          </w:p>
        </w:tc>
        <w:tc>
          <w:tcPr>
            <w:tcW w:type="dxa" w:w="1829"/>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预计安排</w:t>
            </w:r>
          </w:p>
        </w:tc>
        <w:tc>
          <w:tcPr>
            <w:tcW w:type="dxa" w:w="6581"/>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完成标准</w:t>
            </w:r>
          </w:p>
        </w:tc>
      </w:tr>
      <w:tr>
        <w:trPr>
          <w:cantSplit/>
        </w:trPr>
        <w:tc>
          <w:tcPr>
            <w:tcW w:type="dxa" w:w="1757"/>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研究与规则</w:t>
            </w:r>
          </w:p>
        </w:tc>
        <w:tc>
          <w:tcPr>
            <w:tcW w:type="dxa" w:w="1829"/>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第1至2周</w:t>
            </w:r>
          </w:p>
        </w:tc>
        <w:tc>
          <w:tcPr>
            <w:tcW w:type="dxa" w:w="6581"/>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完成首批资料与许可台账，选定一个赛场，冻结初赛规则和6个策略说明书</w:t>
            </w:r>
          </w:p>
        </w:tc>
      </w:tr>
      <w:tr>
        <w:trPr>
          <w:cantSplit/>
        </w:trPr>
        <w:tc>
          <w:tcPr>
            <w:tcW w:type="dxa" w:w="1757"/>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可复现实验</w:t>
            </w:r>
          </w:p>
        </w:tc>
        <w:tc>
          <w:tcPr>
            <w:tcW w:type="dxa" w:w="1829"/>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第3至4周</w:t>
            </w:r>
          </w:p>
        </w:tc>
        <w:tc>
          <w:tcPr>
            <w:tcW w:type="dxa" w:w="6581"/>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完成时点数据、回测与基准；覆盖成本、成交和数据缺失情景，无虚构结果</w:t>
            </w:r>
          </w:p>
        </w:tc>
      </w:tr>
      <w:tr>
        <w:trPr>
          <w:cantSplit/>
        </w:trPr>
        <w:tc>
          <w:tcPr>
            <w:tcW w:type="dxa" w:w="1757"/>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内部连续运行</w:t>
            </w:r>
          </w:p>
        </w:tc>
        <w:tc>
          <w:tcPr>
            <w:tcW w:type="dxa" w:w="1829"/>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第5至6周</w:t>
            </w:r>
          </w:p>
        </w:tc>
        <w:tc>
          <w:tcPr>
            <w:tcW w:type="dxa" w:w="6581"/>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行情、决策、风险、成交和净值贯通，能从账本重建并处理故障</w:t>
            </w:r>
          </w:p>
        </w:tc>
      </w:tr>
      <w:tr>
        <w:trPr>
          <w:cantSplit/>
        </w:trPr>
        <w:tc>
          <w:tcPr>
            <w:tcW w:type="dxa" w:w="1757"/>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公开试赛</w:t>
            </w:r>
          </w:p>
        </w:tc>
        <w:tc>
          <w:tcPr>
            <w:tcW w:type="dxa" w:w="1829"/>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第7至10周</w:t>
            </w:r>
          </w:p>
        </w:tc>
        <w:tc>
          <w:tcPr>
            <w:tcW w:type="dxa" w:w="6581"/>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开放中英文观赛、选手档案与交易记录，持续积累前向模拟成绩</w:t>
            </w:r>
          </w:p>
        </w:tc>
      </w:tr>
      <w:tr>
        <w:trPr>
          <w:cantSplit/>
        </w:trPr>
        <w:tc>
          <w:tcPr>
            <w:tcW w:type="dxa" w:w="1757"/>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跨地区扩展</w:t>
            </w:r>
          </w:p>
        </w:tc>
        <w:tc>
          <w:tcPr>
            <w:tcW w:type="dxa" w:w="1829"/>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试赛稳定之后</w:t>
            </w:r>
          </w:p>
        </w:tc>
        <w:tc>
          <w:tcPr>
            <w:tcW w:type="dxa" w:w="6581"/>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按数据许可和地区要求逐一增加本地股票专长赛，再增加期货和适用地区加密赛道</w:t>
            </w:r>
          </w:p>
        </w:tc>
      </w:tr>
      <w:tr>
        <w:trPr>
          <w:cantSplit/>
        </w:trPr>
        <w:tc>
          <w:tcPr>
            <w:tcW w:type="dxa" w:w="1757"/>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长期评估</w:t>
            </w:r>
          </w:p>
        </w:tc>
        <w:tc>
          <w:tcPr>
            <w:tcW w:type="dxa" w:w="1829"/>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公开运行满90天及12个月</w:t>
            </w:r>
          </w:p>
        </w:tc>
        <w:tc>
          <w:tcPr>
            <w:tcW w:type="dxa" w:w="6581"/>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90天评估可靠性与留存；满12个月结合市场环境评估方法表现</w:t>
            </w:r>
          </w:p>
        </w:tc>
      </w:tr>
    </w:tbl>
    <w:p>
      <w:pPr>
        <w:keepNext w:val="0"/>
        <w:keepLines/>
      </w:pPr>
      <w:r/>
    </w:p>
    <w:p>
      <w:pPr>
        <w:keepNext w:val="0"/>
        <w:keepLines/>
      </w:pPr>
      <w:r>
        <w:t>资源优先给时点数据、成交可信度和连续运行，其次是人物资料整理，再完善视觉和社区。第一版需要账户、关注、只读记录和研究工具即可；复杂社交、真人语音分身、实盘自动跟单和现金竞猜会显著增加范围。</w:t>
      </w:r>
    </w:p>
    <w:p>
      <w:pPr>
        <w:keepNext w:val="0"/>
        <w:keepLines/>
      </w:pPr>
      <w:r>
        <w:t>成本分为历史与展示数据许可、模型调用、计算存储与监控、内容研究、设计运营及法律审查。模型费用按调用次数乘平均输入输出量与实际单价估算；例如8个角色每天各评估4次，30天为960次。若每次输入5000、输出800 token，则约480万输入及76.8万输出token，未含重试、工具调用和额外研究。</w:t>
      </w:r>
    </w:p>
    <w:p>
      <w:pPr>
        <w:keepNext w:val="0"/>
        <w:keepLines/>
      </w:pPr>
      <w:r>
        <w:t>先按日线或事件触发控制调用量，风控无需每次调用模型。行情再分发、历史时点数据和文本版权须向供应方确认，个人接口可访问不等于允许向全球公众展示。延迟行情也应明确延迟和授权范围。</w:t>
      </w:r>
    </w:p>
    <w:p>
      <w:pPr>
        <w:keepNext w:val="0"/>
        <w:keepLines/>
      </w:pPr>
      <w:r>
        <w:t>商业化先保留免费观赛与完整基本记录，再测试研究订阅的长期比较、参数情景与导出价值；更后期允许研究者提交原创选手。初期收费假设通过用户访谈和试用验证，不预设付费转化或收入。赞助与商业关系应披露，不能影响成交或排名。</w:t>
      </w:r>
    </w:p>
    <w:p>
      <w:pPr>
        <w:pStyle w:val="SourceText"/>
        <w:keepNext w:val="0"/>
        <w:keepLines/>
      </w:pPr>
      <w:r>
        <w:t xml:space="preserve">依据1  </w:t>
      </w:r>
      <w:hyperlink r:id="rId15">
        <w:r>
          <w:rPr>
            <w:color w:val="194D78"/>
            <w:rFonts w:ascii="Arial" w:hAnsi="Arial" w:eastAsia="Songti SC"/>
            <w:sz w:val="18"/>
          </w:rPr>
          <w:t>伦敦证券交易所 市场数据许可范围</w:t>
        </w:r>
      </w:hyperlink>
    </w:p>
    <w:p>
      <w:pPr>
        <w:pStyle w:val="Heading1"/>
      </w:pPr>
      <w:r>
        <w:t>9  地区开放与人物使用</w:t>
      </w:r>
    </w:p>
    <w:p>
      <w:pPr>
        <w:keepNext w:val="0"/>
        <w:keepLines/>
      </w:pPr>
      <w:r>
        <w:t>全球上线采用地区功能矩阵。把用户所在地区、经营主体、所涉资产、行情展示、研究订阅、账户连接和交易服务逐项区分，按当地适用规则核查。模拟研究的定位不会自动豁免投资咨询、营销、竞猜、数据许可或人物权益要求。</w:t>
      </w:r>
    </w:p>
    <w:p>
      <w:pPr>
        <w:keepNext w:val="0"/>
        <w:keepLines/>
      </w:pPr>
      <w:r>
        <w:t>中国大陆先规划股票与期货的研究观赛内容。2026年2月6日发布的银发〔2026〕42号通知已替代2021年的相关通知，涉及虚拟货币业务、信息中介、商业展示和营销等要求。面向大陆的加密赛道安排需要针对具体产品核查；不能仅凭不接充值或使用境外域名就判断可以上线。国际加密赛道另行确定合法经营地与目标用户范围。</w:t>
      </w:r>
    </w:p>
    <w:p>
      <w:pPr>
        <w:keepNext w:val="0"/>
        <w:keepLines/>
      </w:pPr>
      <w:r>
        <w:t>真人姓名、肖像、声音、笔名和商业背书分别记录使用依据。原始文章可用于研究，不等于允许复制全文、售卖受限规则、训练模型或推出官方分身。先用原创角色名与中性插画，说明思想来源和平台假设；合作角色应有可核实授权范围、期限和退出安排。</w:t>
      </w:r>
    </w:p>
    <w:p>
      <w:pPr>
        <w:keepNext w:val="0"/>
        <w:keepLines/>
      </w:pPr>
      <w:r>
        <w:t>部分人物已拥有官方AI产品、专有教学系统或受许可约束的指标。不得因原理可公开阅读就把其商业品牌或受限实现移植到本平台。研究规则和人物合作需分别处理。</w:t>
      </w:r>
    </w:p>
    <w:p>
      <w:pPr>
        <w:keepNext w:val="0"/>
        <w:keepLines/>
      </w:pPr>
      <w:r>
        <w:t>美国若涉及投资顾问服务及其营销，SEC对假设业绩有专门要求；它不自动适用于所有观赛网站。平台一旦增加个性化荐股、收费信号、账户代管、真实交易或收益分成，应重新判断服务性质和许可，而不是沿用纯观赛阶段的结论。</w:t>
      </w:r>
    </w:p>
    <w:p>
      <w:pPr>
        <w:keepNext w:val="0"/>
        <w:keepLines/>
      </w:pPr>
      <w:r>
        <w:t>下一项可交付工作应是首发6个策略的逐条说明书和数据样本验收，再形成可操作的产品原型。本版人物库用于筛选研究对象，不表示所有候选均已适合参赛，更不表示其风格收益已经验证。</w:t>
      </w:r>
    </w:p>
    <w:p>
      <w:pPr>
        <w:pStyle w:val="SourceText"/>
        <w:keepNext/>
        <w:keepLines/>
      </w:pPr>
      <w:r>
        <w:t xml:space="preserve">依据1  </w:t>
      </w:r>
      <w:hyperlink r:id="rId16">
        <w:r>
          <w:rPr>
            <w:color w:val="194D78"/>
            <w:rFonts w:ascii="Arial" w:hAnsi="Arial" w:eastAsia="Songti SC"/>
            <w:sz w:val="18"/>
          </w:rPr>
          <w:t>证监会刊载 银发2026年42号通知 2026年2月6日</w:t>
        </w:r>
      </w:hyperlink>
    </w:p>
    <w:p>
      <w:pPr>
        <w:pStyle w:val="SourceText"/>
        <w:keepNext/>
        <w:keepLines/>
      </w:pPr>
      <w:r>
        <w:t xml:space="preserve">依据2  </w:t>
      </w:r>
      <w:hyperlink r:id="rId17">
        <w:r>
          <w:rPr>
            <w:color w:val="194D78"/>
            <w:rFonts w:ascii="Arial" w:hAnsi="Arial" w:eastAsia="Songti SC"/>
            <w:sz w:val="18"/>
          </w:rPr>
          <w:t>中华人民共和国民法典 姓名权与肖像权条款</w:t>
        </w:r>
      </w:hyperlink>
    </w:p>
    <w:p>
      <w:pPr>
        <w:pStyle w:val="SourceText"/>
        <w:keepNext w:val="0"/>
        <w:keepLines/>
      </w:pPr>
      <w:r>
        <w:t xml:space="preserve">依据3  </w:t>
      </w:r>
      <w:hyperlink r:id="rId18">
        <w:r>
          <w:rPr>
            <w:color w:val="194D78"/>
            <w:rFonts w:ascii="Arial" w:hAnsi="Arial" w:eastAsia="Songti SC"/>
            <w:sz w:val="18"/>
          </w:rPr>
          <w:t>SEC Investment Adviser Marketing 适用范围与假设业绩</w:t>
        </w:r>
      </w:hyperlink>
    </w:p>
    <w:p>
      <w:r>
        <w:br w:type="page"/>
      </w:r>
    </w:p>
    <w:p>
      <w:pPr>
        <w:pStyle w:val="Heading1"/>
      </w:pPr>
      <w:r>
        <w:t>10  候选人物总览</w:t>
      </w:r>
    </w:p>
    <w:p>
      <w:pPr>
        <w:keepNext w:val="0"/>
        <w:keepLines/>
      </w:pPr>
      <w:r>
        <w:t>以下按主要背景分组，包含跨国投资和匿名人物。地区用于资料检索与本地化，不作为严格国籍判断或国家队归属。完整来源和能力边界见后续逐人研究卡。</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808"/>
        <w:gridCol w:w="2088"/>
        <w:gridCol w:w="3686"/>
        <w:gridCol w:w="1584"/>
      </w:tblGrid>
      <w:tr>
        <w:trPr>
          <w:tblHeader w:val="true"/>
          <w:cantSplit/>
        </w:trPr>
        <w:tc>
          <w:tcPr>
            <w:tcW w:type="dxa" w:w="2808"/>
            <w:vAlign w:val="center"/>
            <w:shd w:fill="233B50"/>
            <w:tcMar>
              <w:top w:w="90" w:type="dxa"/>
              <w:bottom w:w="90" w:type="dxa"/>
              <w:left w:w="100" w:type="dxa"/>
              <w:right w:w="100" w:type="dxa"/>
            </w:tcMar>
          </w:tcPr>
          <w:p>
            <w:pPr>
              <w:spacing w:line="269" w:lineRule="auto" w:after="20" w:before="20"/>
              <w:jc w:val="left"/>
            </w:pPr>
            <w:r>
              <w:rPr>
                <w:rFonts w:ascii="Arial" w:hAnsi="Arial" w:eastAsia="Hiragino Sans GB"/>
                <w:b/>
                <w:color w:val="FFFFFF"/>
                <w:sz w:val="20"/>
              </w:rPr>
              <w:t>人物</w:t>
            </w:r>
          </w:p>
        </w:tc>
        <w:tc>
          <w:tcPr>
            <w:tcW w:type="dxa" w:w="2088"/>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主要地区背景</w:t>
            </w:r>
          </w:p>
        </w:tc>
        <w:tc>
          <w:tcPr>
            <w:tcW w:type="dxa" w:w="3686"/>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方法方向</w:t>
            </w:r>
          </w:p>
        </w:tc>
        <w:tc>
          <w:tcPr>
            <w:tcW w:type="dxa" w:w="1584"/>
            <w:vAlign w:val="center"/>
            <w:shd w:fill="233B50"/>
            <w:tcMar>
              <w:top w:w="90" w:type="dxa"/>
              <w:bottom w:w="90" w:type="dxa"/>
              <w:left w:w="100" w:type="dxa"/>
              <w:right w:w="100" w:type="dxa"/>
            </w:tcMar>
          </w:tcPr>
          <w:p>
            <w:pPr>
              <w:spacing w:line="269" w:lineRule="auto" w:after="20" w:before="20"/>
            </w:pPr>
            <w:r>
              <w:rPr>
                <w:rFonts w:ascii="Arial" w:hAnsi="Arial" w:eastAsia="Hiragino Sans GB"/>
                <w:b/>
                <w:color w:val="FFFFFF"/>
                <w:sz w:val="20"/>
              </w:rPr>
              <w:t>证据 实现</w:t>
            </w:r>
          </w:p>
        </w:tc>
      </w:tr>
      <w:tr>
        <w:trPr>
          <w:cantSplit/>
        </w:trPr>
        <w:tc>
          <w:tcPr>
            <w:tcW w:type="dxa" w:w="2808"/>
            <w:vAlign w:val="center"/>
            <w:shd w:fill="FFFFFF"/>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01 方新侠</w:t>
            </w:r>
          </w:p>
        </w:tc>
        <w:tc>
          <w:tcPr>
            <w:tcW w:type="dxa" w:w="2088"/>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中国</w:t>
            </w:r>
          </w:p>
        </w:tc>
        <w:tc>
          <w:tcPr>
            <w:tcW w:type="dxa" w:w="368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题材短线研究</w:t>
            </w:r>
          </w:p>
        </w:tc>
        <w:tc>
          <w:tcPr>
            <w:tcW w:type="dxa" w:w="1584"/>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C / 暂缓</w:t>
            </w:r>
          </w:p>
        </w:tc>
      </w:tr>
      <w:tr>
        <w:trPr>
          <w:cantSplit/>
        </w:trPr>
        <w:tc>
          <w:tcPr>
            <w:tcW w:type="dxa" w:w="2808"/>
            <w:vAlign w:val="center"/>
            <w:shd w:fill="F1F5F7"/>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02 徐翔</w:t>
            </w:r>
          </w:p>
        </w:tc>
        <w:tc>
          <w:tcPr>
            <w:tcW w:type="dxa" w:w="2088"/>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中国</w:t>
            </w:r>
          </w:p>
        </w:tc>
        <w:tc>
          <w:tcPr>
            <w:tcW w:type="dxa" w:w="368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个人完整规则不足</w:t>
            </w:r>
          </w:p>
        </w:tc>
        <w:tc>
          <w:tcPr>
            <w:tcW w:type="dxa" w:w="1584"/>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D / 暂缓</w:t>
            </w:r>
          </w:p>
        </w:tc>
      </w:tr>
      <w:tr>
        <w:trPr>
          <w:cantSplit/>
        </w:trPr>
        <w:tc>
          <w:tcPr>
            <w:tcW w:type="dxa" w:w="2808"/>
            <w:vAlign w:val="center"/>
            <w:shd w:fill="FFFFFF"/>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03 林园</w:t>
            </w:r>
          </w:p>
        </w:tc>
        <w:tc>
          <w:tcPr>
            <w:tcW w:type="dxa" w:w="2088"/>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中国</w:t>
            </w:r>
          </w:p>
        </w:tc>
        <w:tc>
          <w:tcPr>
            <w:tcW w:type="dxa" w:w="368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消费健康质量</w:t>
            </w:r>
          </w:p>
        </w:tc>
        <w:tc>
          <w:tcPr>
            <w:tcW w:type="dxa" w:w="1584"/>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中</w:t>
            </w:r>
          </w:p>
        </w:tc>
      </w:tr>
      <w:tr>
        <w:trPr>
          <w:cantSplit/>
        </w:trPr>
        <w:tc>
          <w:tcPr>
            <w:tcW w:type="dxa" w:w="2808"/>
            <w:vAlign w:val="center"/>
            <w:shd w:fill="F1F5F7"/>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04 葛卫东</w:t>
            </w:r>
          </w:p>
        </w:tc>
        <w:tc>
          <w:tcPr>
            <w:tcW w:type="dxa" w:w="2088"/>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中国市场</w:t>
            </w:r>
          </w:p>
        </w:tc>
        <w:tc>
          <w:tcPr>
            <w:tcW w:type="dxa" w:w="368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基本面与趋势共振</w:t>
            </w:r>
          </w:p>
        </w:tc>
        <w:tc>
          <w:tcPr>
            <w:tcW w:type="dxa" w:w="1584"/>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B / 中</w:t>
            </w:r>
          </w:p>
        </w:tc>
      </w:tr>
      <w:tr>
        <w:trPr>
          <w:cantSplit/>
        </w:trPr>
        <w:tc>
          <w:tcPr>
            <w:tcW w:type="dxa" w:w="2808"/>
            <w:vAlign w:val="center"/>
            <w:shd w:fill="FFFFFF"/>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05 林广茂</w:t>
            </w:r>
          </w:p>
        </w:tc>
        <w:tc>
          <w:tcPr>
            <w:tcW w:type="dxa" w:w="2088"/>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中国</w:t>
            </w:r>
          </w:p>
        </w:tc>
        <w:tc>
          <w:tcPr>
            <w:tcW w:type="dxa" w:w="368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棉花产业与现货</w:t>
            </w:r>
          </w:p>
        </w:tc>
        <w:tc>
          <w:tcPr>
            <w:tcW w:type="dxa" w:w="1584"/>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B / 中</w:t>
            </w:r>
          </w:p>
        </w:tc>
      </w:tr>
      <w:tr>
        <w:trPr>
          <w:cantSplit/>
        </w:trPr>
        <w:tc>
          <w:tcPr>
            <w:tcW w:type="dxa" w:w="2808"/>
            <w:vAlign w:val="center"/>
            <w:shd w:fill="F1F5F7"/>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06 傅海棠</w:t>
            </w:r>
          </w:p>
        </w:tc>
        <w:tc>
          <w:tcPr>
            <w:tcW w:type="dxa" w:w="2088"/>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中国</w:t>
            </w:r>
          </w:p>
        </w:tc>
        <w:tc>
          <w:tcPr>
            <w:tcW w:type="dxa" w:w="368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商品供需与成本</w:t>
            </w:r>
          </w:p>
        </w:tc>
        <w:tc>
          <w:tcPr>
            <w:tcW w:type="dxa" w:w="1584"/>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中</w:t>
            </w:r>
          </w:p>
        </w:tc>
      </w:tr>
      <w:tr>
        <w:trPr>
          <w:cantSplit/>
        </w:trPr>
        <w:tc>
          <w:tcPr>
            <w:tcW w:type="dxa" w:w="2808"/>
            <w:vAlign w:val="center"/>
            <w:shd w:fill="FFFFFF"/>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07 李录</w:t>
            </w:r>
          </w:p>
        </w:tc>
        <w:tc>
          <w:tcPr>
            <w:tcW w:type="dxa" w:w="2088"/>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美国机构 中国背景</w:t>
            </w:r>
          </w:p>
        </w:tc>
        <w:tc>
          <w:tcPr>
            <w:tcW w:type="dxa" w:w="368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护城河与安全边际</w:t>
            </w:r>
          </w:p>
        </w:tc>
        <w:tc>
          <w:tcPr>
            <w:tcW w:type="dxa" w:w="1584"/>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中</w:t>
            </w:r>
          </w:p>
        </w:tc>
      </w:tr>
      <w:tr>
        <w:trPr>
          <w:cantSplit/>
        </w:trPr>
        <w:tc>
          <w:tcPr>
            <w:tcW w:type="dxa" w:w="2808"/>
            <w:vAlign w:val="center"/>
            <w:shd w:fill="F1F5F7"/>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08 Warren Buffett</w:t>
            </w:r>
          </w:p>
        </w:tc>
        <w:tc>
          <w:tcPr>
            <w:tcW w:type="dxa" w:w="2088"/>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美国</w:t>
            </w:r>
          </w:p>
        </w:tc>
        <w:tc>
          <w:tcPr>
            <w:tcW w:type="dxa" w:w="368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企业质量与价值</w:t>
            </w:r>
          </w:p>
        </w:tc>
        <w:tc>
          <w:tcPr>
            <w:tcW w:type="dxa" w:w="1584"/>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中</w:t>
            </w:r>
          </w:p>
        </w:tc>
      </w:tr>
      <w:tr>
        <w:trPr>
          <w:cantSplit/>
        </w:trPr>
        <w:tc>
          <w:tcPr>
            <w:tcW w:type="dxa" w:w="2808"/>
            <w:vAlign w:val="center"/>
            <w:shd w:fill="FFFFFF"/>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09 Peter Lynch</w:t>
            </w:r>
          </w:p>
        </w:tc>
        <w:tc>
          <w:tcPr>
            <w:tcW w:type="dxa" w:w="2088"/>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美国</w:t>
            </w:r>
          </w:p>
        </w:tc>
        <w:tc>
          <w:tcPr>
            <w:tcW w:type="dxa" w:w="368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成长与合理价格</w:t>
            </w:r>
          </w:p>
        </w:tc>
        <w:tc>
          <w:tcPr>
            <w:tcW w:type="dxa" w:w="1584"/>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中</w:t>
            </w:r>
          </w:p>
        </w:tc>
      </w:tr>
      <w:tr>
        <w:trPr>
          <w:cantSplit/>
        </w:trPr>
        <w:tc>
          <w:tcPr>
            <w:tcW w:type="dxa" w:w="2808"/>
            <w:vAlign w:val="center"/>
            <w:shd w:fill="F1F5F7"/>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10 Benjamin Graham</w:t>
            </w:r>
          </w:p>
        </w:tc>
        <w:tc>
          <w:tcPr>
            <w:tcW w:type="dxa" w:w="2088"/>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英国出生 美国生涯</w:t>
            </w:r>
          </w:p>
        </w:tc>
        <w:tc>
          <w:tcPr>
            <w:tcW w:type="dxa" w:w="368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安全边际与低估值</w:t>
            </w:r>
          </w:p>
        </w:tc>
        <w:tc>
          <w:tcPr>
            <w:tcW w:type="dxa" w:w="1584"/>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高</w:t>
            </w:r>
          </w:p>
        </w:tc>
      </w:tr>
      <w:tr>
        <w:trPr>
          <w:cantSplit/>
        </w:trPr>
        <w:tc>
          <w:tcPr>
            <w:tcW w:type="dxa" w:w="2808"/>
            <w:vAlign w:val="center"/>
            <w:shd w:fill="FFFFFF"/>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11 George Soros</w:t>
            </w:r>
          </w:p>
        </w:tc>
        <w:tc>
          <w:tcPr>
            <w:tcW w:type="dxa" w:w="2088"/>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匈牙利出生 美国生涯</w:t>
            </w:r>
          </w:p>
        </w:tc>
        <w:tc>
          <w:tcPr>
            <w:tcW w:type="dxa" w:w="368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反身性与全球宏观</w:t>
            </w:r>
          </w:p>
        </w:tc>
        <w:tc>
          <w:tcPr>
            <w:tcW w:type="dxa" w:w="1584"/>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低</w:t>
            </w:r>
          </w:p>
        </w:tc>
      </w:tr>
      <w:tr>
        <w:trPr>
          <w:cantSplit/>
        </w:trPr>
        <w:tc>
          <w:tcPr>
            <w:tcW w:type="dxa" w:w="2808"/>
            <w:vAlign w:val="center"/>
            <w:shd w:fill="F1F5F7"/>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12 Jesse Livermore</w:t>
            </w:r>
          </w:p>
        </w:tc>
        <w:tc>
          <w:tcPr>
            <w:tcW w:type="dxa" w:w="2088"/>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美国</w:t>
            </w:r>
          </w:p>
        </w:tc>
        <w:tc>
          <w:tcPr>
            <w:tcW w:type="dxa" w:w="368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趋势与价格行为</w:t>
            </w:r>
          </w:p>
        </w:tc>
        <w:tc>
          <w:tcPr>
            <w:tcW w:type="dxa" w:w="1584"/>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B / 中</w:t>
            </w:r>
          </w:p>
        </w:tc>
      </w:tr>
      <w:tr>
        <w:trPr>
          <w:cantSplit/>
        </w:trPr>
        <w:tc>
          <w:tcPr>
            <w:tcW w:type="dxa" w:w="2808"/>
            <w:vAlign w:val="center"/>
            <w:shd w:fill="FFFFFF"/>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13 Richard Dennis</w:t>
            </w:r>
          </w:p>
        </w:tc>
        <w:tc>
          <w:tcPr>
            <w:tcW w:type="dxa" w:w="2088"/>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美国</w:t>
            </w:r>
          </w:p>
        </w:tc>
        <w:tc>
          <w:tcPr>
            <w:tcW w:type="dxa" w:w="368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海龟趋势规则</w:t>
            </w:r>
          </w:p>
        </w:tc>
        <w:tc>
          <w:tcPr>
            <w:tcW w:type="dxa" w:w="1584"/>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高</w:t>
            </w:r>
          </w:p>
        </w:tc>
      </w:tr>
      <w:tr>
        <w:trPr>
          <w:cantSplit/>
        </w:trPr>
        <w:tc>
          <w:tcPr>
            <w:tcW w:type="dxa" w:w="2808"/>
            <w:vAlign w:val="center"/>
            <w:shd w:fill="F1F5F7"/>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14 Ed Seykota</w:t>
            </w:r>
          </w:p>
        </w:tc>
        <w:tc>
          <w:tcPr>
            <w:tcW w:type="dxa" w:w="2088"/>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美国</w:t>
            </w:r>
          </w:p>
        </w:tc>
        <w:tc>
          <w:tcPr>
            <w:tcW w:type="dxa" w:w="368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系统趋势与纪律</w:t>
            </w:r>
          </w:p>
        </w:tc>
        <w:tc>
          <w:tcPr>
            <w:tcW w:type="dxa" w:w="1584"/>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高</w:t>
            </w:r>
          </w:p>
        </w:tc>
      </w:tr>
      <w:tr>
        <w:trPr>
          <w:cantSplit/>
        </w:trPr>
        <w:tc>
          <w:tcPr>
            <w:tcW w:type="dxa" w:w="2808"/>
            <w:vAlign w:val="center"/>
            <w:shd w:fill="FFFFFF"/>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15 Paul Tudor Jones</w:t>
            </w:r>
          </w:p>
        </w:tc>
        <w:tc>
          <w:tcPr>
            <w:tcW w:type="dxa" w:w="2088"/>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美国</w:t>
            </w:r>
          </w:p>
        </w:tc>
        <w:tc>
          <w:tcPr>
            <w:tcW w:type="dxa" w:w="368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宏观与风险管理</w:t>
            </w:r>
          </w:p>
        </w:tc>
        <w:tc>
          <w:tcPr>
            <w:tcW w:type="dxa" w:w="1584"/>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B / 中</w:t>
            </w:r>
          </w:p>
        </w:tc>
      </w:tr>
      <w:tr>
        <w:trPr>
          <w:cantSplit/>
        </w:trPr>
        <w:tc>
          <w:tcPr>
            <w:tcW w:type="dxa" w:w="2808"/>
            <w:vAlign w:val="center"/>
            <w:shd w:fill="F1F5F7"/>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16 Larry Williams</w:t>
            </w:r>
          </w:p>
        </w:tc>
        <w:tc>
          <w:tcPr>
            <w:tcW w:type="dxa" w:w="2088"/>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美国</w:t>
            </w:r>
          </w:p>
        </w:tc>
        <w:tc>
          <w:tcPr>
            <w:tcW w:type="dxa" w:w="368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指标 COT与季节性</w:t>
            </w:r>
          </w:p>
        </w:tc>
        <w:tc>
          <w:tcPr>
            <w:tcW w:type="dxa" w:w="1584"/>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中</w:t>
            </w:r>
          </w:p>
        </w:tc>
      </w:tr>
      <w:tr>
        <w:trPr>
          <w:cantSplit/>
        </w:trPr>
        <w:tc>
          <w:tcPr>
            <w:tcW w:type="dxa" w:w="2808"/>
            <w:vAlign w:val="center"/>
            <w:shd w:fill="FFFFFF"/>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17 Mark Minervini</w:t>
            </w:r>
          </w:p>
        </w:tc>
        <w:tc>
          <w:tcPr>
            <w:tcW w:type="dxa" w:w="2088"/>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美国</w:t>
            </w:r>
          </w:p>
        </w:tc>
        <w:tc>
          <w:tcPr>
            <w:tcW w:type="dxa" w:w="368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成长动量与收缩突破</w:t>
            </w:r>
          </w:p>
        </w:tc>
        <w:tc>
          <w:tcPr>
            <w:tcW w:type="dxa" w:w="1584"/>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中</w:t>
            </w:r>
          </w:p>
        </w:tc>
      </w:tr>
      <w:tr>
        <w:trPr>
          <w:cantSplit/>
        </w:trPr>
        <w:tc>
          <w:tcPr>
            <w:tcW w:type="dxa" w:w="2808"/>
            <w:vAlign w:val="center"/>
            <w:shd w:fill="F1F5F7"/>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18 Linda Raschke</w:t>
            </w:r>
          </w:p>
        </w:tc>
        <w:tc>
          <w:tcPr>
            <w:tcW w:type="dxa" w:w="2088"/>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美国</w:t>
            </w:r>
          </w:p>
        </w:tc>
        <w:tc>
          <w:tcPr>
            <w:tcW w:type="dxa" w:w="368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短线形态与统计设置</w:t>
            </w:r>
          </w:p>
        </w:tc>
        <w:tc>
          <w:tcPr>
            <w:tcW w:type="dxa" w:w="1584"/>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高</w:t>
            </w:r>
          </w:p>
        </w:tc>
      </w:tr>
      <w:tr>
        <w:trPr>
          <w:cantSplit/>
        </w:trPr>
        <w:tc>
          <w:tcPr>
            <w:tcW w:type="dxa" w:w="2808"/>
            <w:vAlign w:val="center"/>
            <w:shd w:fill="FFFFFF"/>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19 William O’Neil</w:t>
            </w:r>
          </w:p>
        </w:tc>
        <w:tc>
          <w:tcPr>
            <w:tcW w:type="dxa" w:w="2088"/>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美国</w:t>
            </w:r>
          </w:p>
        </w:tc>
        <w:tc>
          <w:tcPr>
            <w:tcW w:type="dxa" w:w="368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CAN SLIM成长体系</w:t>
            </w:r>
          </w:p>
        </w:tc>
        <w:tc>
          <w:tcPr>
            <w:tcW w:type="dxa" w:w="1584"/>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中</w:t>
            </w:r>
          </w:p>
        </w:tc>
      </w:tr>
      <w:tr>
        <w:trPr>
          <w:cantSplit/>
        </w:trPr>
        <w:tc>
          <w:tcPr>
            <w:tcW w:type="dxa" w:w="2808"/>
            <w:vAlign w:val="center"/>
            <w:shd w:fill="F1F5F7"/>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20 cis</w:t>
            </w:r>
          </w:p>
        </w:tc>
        <w:tc>
          <w:tcPr>
            <w:tcW w:type="dxa" w:w="2088"/>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日本</w:t>
            </w:r>
          </w:p>
        </w:tc>
        <w:tc>
          <w:tcPr>
            <w:tcW w:type="dxa" w:w="368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短线盘面与假说检验</w:t>
            </w:r>
          </w:p>
        </w:tc>
        <w:tc>
          <w:tcPr>
            <w:tcW w:type="dxa" w:w="1584"/>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B / 中</w:t>
            </w:r>
          </w:p>
        </w:tc>
      </w:tr>
      <w:tr>
        <w:trPr>
          <w:cantSplit/>
        </w:trPr>
        <w:tc>
          <w:tcPr>
            <w:tcW w:type="dxa" w:w="2808"/>
            <w:vAlign w:val="center"/>
            <w:shd w:fill="FFFFFF"/>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21 Anthony Bolton</w:t>
            </w:r>
          </w:p>
        </w:tc>
        <w:tc>
          <w:tcPr>
            <w:tcW w:type="dxa" w:w="2088"/>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英国</w:t>
            </w:r>
          </w:p>
        </w:tc>
        <w:tc>
          <w:tcPr>
            <w:tcW w:type="dxa" w:w="368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逆向与困境改善</w:t>
            </w:r>
          </w:p>
        </w:tc>
        <w:tc>
          <w:tcPr>
            <w:tcW w:type="dxa" w:w="1584"/>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中</w:t>
            </w:r>
          </w:p>
        </w:tc>
      </w:tr>
      <w:tr>
        <w:trPr>
          <w:cantSplit/>
        </w:trPr>
        <w:tc>
          <w:tcPr>
            <w:tcW w:type="dxa" w:w="2808"/>
            <w:vAlign w:val="center"/>
            <w:shd w:fill="F1F5F7"/>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22 Vijay Kedia</w:t>
            </w:r>
          </w:p>
        </w:tc>
        <w:tc>
          <w:tcPr>
            <w:tcW w:type="dxa" w:w="2088"/>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印度</w:t>
            </w:r>
          </w:p>
        </w:tc>
        <w:tc>
          <w:tcPr>
            <w:tcW w:type="dxa" w:w="368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SMILE长期成长</w:t>
            </w:r>
          </w:p>
        </w:tc>
        <w:tc>
          <w:tcPr>
            <w:tcW w:type="dxa" w:w="1584"/>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中</w:t>
            </w:r>
          </w:p>
        </w:tc>
      </w:tr>
      <w:tr>
        <w:trPr>
          <w:cantSplit/>
        </w:trPr>
        <w:tc>
          <w:tcPr>
            <w:tcW w:type="dxa" w:w="2808"/>
            <w:vAlign w:val="center"/>
            <w:shd w:fill="FFFFFF"/>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23 Luis Stuhlberger</w:t>
            </w:r>
          </w:p>
        </w:tc>
        <w:tc>
          <w:tcPr>
            <w:tcW w:type="dxa" w:w="2088"/>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巴西</w:t>
            </w:r>
          </w:p>
        </w:tc>
        <w:tc>
          <w:tcPr>
            <w:tcW w:type="dxa" w:w="368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宏观多资产</w:t>
            </w:r>
          </w:p>
        </w:tc>
        <w:tc>
          <w:tcPr>
            <w:tcW w:type="dxa" w:w="1584"/>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中</w:t>
            </w:r>
          </w:p>
        </w:tc>
      </w:tr>
      <w:tr>
        <w:trPr>
          <w:cantSplit/>
        </w:trPr>
        <w:tc>
          <w:tcPr>
            <w:tcW w:type="dxa" w:w="2808"/>
            <w:vAlign w:val="center"/>
            <w:shd w:fill="F1F5F7"/>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24 Nick Radge</w:t>
            </w:r>
          </w:p>
        </w:tc>
        <w:tc>
          <w:tcPr>
            <w:tcW w:type="dxa" w:w="2088"/>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澳大利亚</w:t>
            </w:r>
          </w:p>
        </w:tc>
        <w:tc>
          <w:tcPr>
            <w:tcW w:type="dxa" w:w="368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系统均值回归与趋势</w:t>
            </w:r>
          </w:p>
        </w:tc>
        <w:tc>
          <w:tcPr>
            <w:tcW w:type="dxa" w:w="1584"/>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高</w:t>
            </w:r>
          </w:p>
        </w:tc>
      </w:tr>
      <w:tr>
        <w:trPr>
          <w:cantSplit/>
        </w:trPr>
        <w:tc>
          <w:tcPr>
            <w:tcW w:type="dxa" w:w="2808"/>
            <w:vAlign w:val="center"/>
            <w:shd w:fill="FFFFFF"/>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25 Eric Sprott</w:t>
            </w:r>
          </w:p>
        </w:tc>
        <w:tc>
          <w:tcPr>
            <w:tcW w:type="dxa" w:w="2088"/>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加拿大</w:t>
            </w:r>
          </w:p>
        </w:tc>
        <w:tc>
          <w:tcPr>
            <w:tcW w:type="dxa" w:w="368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贵金属矿业研究</w:t>
            </w:r>
          </w:p>
        </w:tc>
        <w:tc>
          <w:tcPr>
            <w:tcW w:type="dxa" w:w="1584"/>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B / 低</w:t>
            </w:r>
          </w:p>
        </w:tc>
      </w:tr>
      <w:tr>
        <w:trPr>
          <w:cantSplit/>
        </w:trPr>
        <w:tc>
          <w:tcPr>
            <w:tcW w:type="dxa" w:w="2808"/>
            <w:vAlign w:val="center"/>
            <w:shd w:fill="F1F5F7"/>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26 Andreas Clenow</w:t>
            </w:r>
          </w:p>
        </w:tc>
        <w:tc>
          <w:tcPr>
            <w:tcW w:type="dxa" w:w="2088"/>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瑞典 瑞士执业</w:t>
            </w:r>
          </w:p>
        </w:tc>
        <w:tc>
          <w:tcPr>
            <w:tcW w:type="dxa" w:w="368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跨资产趋势与动量</w:t>
            </w:r>
          </w:p>
        </w:tc>
        <w:tc>
          <w:tcPr>
            <w:tcW w:type="dxa" w:w="1584"/>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高</w:t>
            </w:r>
          </w:p>
        </w:tc>
      </w:tr>
      <w:tr>
        <w:trPr>
          <w:cantSplit/>
        </w:trPr>
        <w:tc>
          <w:tcPr>
            <w:tcW w:type="dxa" w:w="2808"/>
            <w:vAlign w:val="center"/>
            <w:shd w:fill="FFFFFF"/>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27 Arthur Hayes</w:t>
            </w:r>
          </w:p>
        </w:tc>
        <w:tc>
          <w:tcPr>
            <w:tcW w:type="dxa" w:w="2088"/>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全球 香港从业经历</w:t>
            </w:r>
          </w:p>
        </w:tc>
        <w:tc>
          <w:tcPr>
            <w:tcW w:type="dxa" w:w="368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宏观流动性与加密</w:t>
            </w:r>
          </w:p>
        </w:tc>
        <w:tc>
          <w:tcPr>
            <w:tcW w:type="dxa" w:w="1584"/>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中</w:t>
            </w:r>
          </w:p>
        </w:tc>
      </w:tr>
      <w:tr>
        <w:trPr>
          <w:cantSplit/>
        </w:trPr>
        <w:tc>
          <w:tcPr>
            <w:tcW w:type="dxa" w:w="2808"/>
            <w:vAlign w:val="center"/>
            <w:shd w:fill="F1F5F7"/>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28 Chris Burniske</w:t>
            </w:r>
          </w:p>
        </w:tc>
        <w:tc>
          <w:tcPr>
            <w:tcW w:type="dxa" w:w="2088"/>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美国职业经历</w:t>
            </w:r>
          </w:p>
        </w:tc>
        <w:tc>
          <w:tcPr>
            <w:tcW w:type="dxa" w:w="3686"/>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加密网络基本面</w:t>
            </w:r>
          </w:p>
        </w:tc>
        <w:tc>
          <w:tcPr>
            <w:tcW w:type="dxa" w:w="1584"/>
            <w:vAlign w:val="center"/>
            <w:shd w:fill="F1F5F7"/>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A / 中</w:t>
            </w:r>
          </w:p>
        </w:tc>
      </w:tr>
      <w:tr>
        <w:trPr>
          <w:cantSplit/>
        </w:trPr>
        <w:tc>
          <w:tcPr>
            <w:tcW w:type="dxa" w:w="2808"/>
            <w:vAlign w:val="center"/>
            <w:shd w:fill="FFFFFF"/>
            <w:tcMar>
              <w:top w:w="90" w:type="dxa"/>
              <w:bottom w:w="90" w:type="dxa"/>
              <w:left w:w="100" w:type="dxa"/>
              <w:right w:w="100" w:type="dxa"/>
            </w:tcMar>
          </w:tcPr>
          <w:p>
            <w:pPr>
              <w:spacing w:line="269" w:lineRule="auto" w:after="20" w:before="20"/>
              <w:jc w:val="left"/>
            </w:pPr>
            <w:r>
              <w:rPr>
                <w:rFonts w:ascii="Arial" w:hAnsi="Arial" w:eastAsia="Hiragino Sans GB"/>
                <w:b w:val="0"/>
                <w:color w:val="000000"/>
                <w:sz w:val="20"/>
              </w:rPr>
              <w:t>29 Ari Paul</w:t>
            </w:r>
          </w:p>
        </w:tc>
        <w:tc>
          <w:tcPr>
            <w:tcW w:type="dxa" w:w="2088"/>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美国职业经历</w:t>
            </w:r>
          </w:p>
        </w:tc>
        <w:tc>
          <w:tcPr>
            <w:tcW w:type="dxa" w:w="3686"/>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加密事件与资金流</w:t>
            </w:r>
          </w:p>
        </w:tc>
        <w:tc>
          <w:tcPr>
            <w:tcW w:type="dxa" w:w="1584"/>
            <w:vAlign w:val="center"/>
            <w:shd w:fill="FFFFFF"/>
            <w:tcMar>
              <w:top w:w="90" w:type="dxa"/>
              <w:bottom w:w="90" w:type="dxa"/>
              <w:left w:w="100" w:type="dxa"/>
              <w:right w:w="100" w:type="dxa"/>
            </w:tcMar>
          </w:tcPr>
          <w:p>
            <w:pPr>
              <w:spacing w:line="269" w:lineRule="auto" w:after="20" w:before="20"/>
            </w:pPr>
            <w:r>
              <w:rPr>
                <w:rFonts w:ascii="Arial" w:hAnsi="Arial" w:eastAsia="Hiragino Sans GB"/>
                <w:b w:val="0"/>
                <w:color w:val="000000"/>
                <w:sz w:val="20"/>
              </w:rPr>
              <w:t>B / 中</w:t>
            </w:r>
          </w:p>
        </w:tc>
      </w:tr>
    </w:tbl>
    <w:p>
      <w:pPr>
        <w:keepNext w:val="0"/>
        <w:keepLines/>
      </w:pPr>
      <w:r/>
    </w:p>
    <w:p>
      <w:pPr>
        <w:keepNext w:val="0"/>
        <w:keepLines/>
      </w:pPr>
      <w:r>
        <w:t>资料库有68个来源条目，其中包括同一机构的不同页面和原文镜像，不能当作68个独立证据。原书书目只能证明出版与主题；尚未审读全文的部分在研究卡中注明，不据书目推定精确参数。</w:t>
      </w:r>
    </w:p>
    <w:p>
      <w:r>
        <w:br w:type="page"/>
      </w:r>
    </w:p>
    <w:p>
      <w:pPr>
        <w:pStyle w:val="Heading1"/>
      </w:pPr>
      <w:r>
        <w:t>11  华语与中国市场人物</w:t>
      </w:r>
    </w:p>
    <w:p>
      <w:pPr>
        <w:pStyle w:val="Heading2"/>
      </w:pPr>
      <w:r>
        <w:t>01  方新侠</w:t>
      </w:r>
    </w:p>
    <w:p>
      <w:pPr>
        <w:pStyle w:val="SourceText"/>
        <w:keepNext/>
        <w:keepLines/>
      </w:pPr>
      <w:r>
        <w:t>中国／A股市场人物  ｜  证据 C  ｜  回测实现度 低</w:t>
      </w:r>
    </w:p>
    <w:p>
      <w:pPr>
        <w:keepNext/>
        <w:keepLines/>
      </w:pPr>
      <w:r>
        <w:rPr>
          <w:b/>
        </w:rPr>
        <w:t xml:space="preserve">主要市场  </w:t>
      </w:r>
      <w:r>
        <w:t>中国A股；媒体关注其所谓常用营业部的龙虎榜交易</w:t>
      </w:r>
    </w:p>
    <w:p>
      <w:pPr>
        <w:keepNext w:val="0"/>
        <w:keepLines/>
      </w:pPr>
      <w:r>
        <w:rPr>
          <w:b/>
        </w:rPr>
        <w:t xml:space="preserve">公开风格  </w:t>
      </w:r>
      <w:r>
        <w:t>媒体通常将其归入题材、活跃股和短线游资观察范围。本次未找到可以核实的本人系统著作、完整原始访谈或获确认的账户规则，不能据此确立其真实策略。营业部交易不等于某一自然人的全部交易。</w:t>
      </w:r>
    </w:p>
    <w:p>
      <w:pPr>
        <w:keepNext w:val="0"/>
        <w:keepLines/>
      </w:pPr>
      <w:r>
        <w:rPr>
          <w:b/>
        </w:rPr>
        <w:t xml:space="preserve">回测逻辑  </w:t>
      </w:r>
      <w:r>
        <w:t>平台原创假设：建立匿名‘题材强势股’研究基线。每日收盘后，用当时可知行业分类筛选过去20日相对沪深300强度前20%的行业，再选行业中成交额前30%、近20日创新高且非一字涨停的股票；次日可成交时等权持有，最长5个交易日或跌破入场前10日低点退出，单股上限10%。全部参数由平台预注册，不能标为方新侠本人规则。龙虎榜信号只能在其公开时间之后使用。</w:t>
      </w:r>
    </w:p>
    <w:p>
      <w:pPr>
        <w:keepNext w:val="0"/>
        <w:keepLines/>
      </w:pPr>
      <w:r>
        <w:rPr>
          <w:b/>
        </w:rPr>
        <w:t xml:space="preserve">所需数据  </w:t>
      </w:r>
      <w:r>
        <w:t>包含退市股的历史A股标的池、当时有效行业分类、复权因子与原始价格、日线及分钟行情、停复牌与ST状态、分板块涨跌停规则、龙虎榜发布时间与营业部原始名称、费税、成交量与排队约束。</w:t>
      </w:r>
    </w:p>
    <w:p>
      <w:pPr>
        <w:keepNext w:val="0"/>
        <w:keepLines/>
      </w:pPr>
      <w:r>
        <w:rPr>
          <w:b/>
        </w:rPr>
        <w:t xml:space="preserve">适用周期  </w:t>
      </w:r>
      <w:r>
        <w:t>日内观察至数日；研究基线每日日终决策，至少跨多个牛熊阶段验证。</w:t>
      </w:r>
    </w:p>
    <w:p>
      <w:pPr>
        <w:keepNext w:val="0"/>
        <w:keepLines/>
      </w:pPr>
      <w:r>
        <w:rPr>
          <w:b/>
        </w:rPr>
        <w:t xml:space="preserve">能力边界  </w:t>
      </w:r>
      <w:r>
        <w:t>C表示第三方媒体归属，不能证明本人交易逻辑或收益。平台基线本身可实现，但不能验证它与本人相似；‘未找到’仅限本次检索，不代表绝对不存在。不能把公开席位胜率当作可执行策略收益，不能用盘后榜单反向决定当天入场。</w:t>
      </w:r>
    </w:p>
    <w:p>
      <w:pPr>
        <w:keepNext/>
        <w:keepLines/>
      </w:pPr>
      <w:r>
        <w:rPr>
          <w:b/>
        </w:rPr>
        <w:t xml:space="preserve">上线建议  </w:t>
      </w:r>
      <w:r>
        <w:t>实名风格智能体暂缓。保留人物研究卡；首发若需要短线选手，使用独立命名的题材动量基线，并明确平台原创。</w:t>
      </w:r>
    </w:p>
    <w:p>
      <w:pPr>
        <w:pStyle w:val="SourceText"/>
        <w:keepNext w:val="0"/>
        <w:keepLines/>
      </w:pPr>
      <w:r>
        <w:t xml:space="preserve">01 来源1  </w:t>
      </w:r>
      <w:hyperlink r:id="rId19">
        <w:r>
          <w:rPr>
            <w:color w:val="194D78"/>
            <w:rFonts w:ascii="Arial" w:hAnsi="Arial" w:eastAsia="Songti SC"/>
            <w:sz w:val="18"/>
          </w:rPr>
          <w:t>陈小群高调爆炒、众游资伺机而动，12天8板的航天发展是如何起飞的？</w:t>
        </w:r>
      </w:hyperlink>
      <w:r>
        <w:t xml:space="preserve">  证券时报网刊载的龙虎榜报道；仅支持媒体所称常用席位的观察，非本人方法论及身份认证</w:t>
      </w:r>
    </w:p>
    <w:p>
      <w:pPr>
        <w:pStyle w:val="Heading2"/>
      </w:pPr>
      <w:r>
        <w:t>02  徐翔</w:t>
      </w:r>
    </w:p>
    <w:p>
      <w:pPr>
        <w:pStyle w:val="SourceText"/>
        <w:keepNext/>
        <w:keepLines/>
      </w:pPr>
      <w:r>
        <w:t>中国  ｜  证据 D  ｜  回测实现度 低</w:t>
      </w:r>
    </w:p>
    <w:p>
      <w:pPr>
        <w:keepNext/>
        <w:keepLines/>
      </w:pPr>
      <w:r>
        <w:rPr>
          <w:b/>
        </w:rPr>
        <w:t xml:space="preserve">主要市场  </w:t>
      </w:r>
      <w:r>
        <w:t>中国A股及历史泽熙相关投资活动</w:t>
      </w:r>
    </w:p>
    <w:p>
      <w:pPr>
        <w:keepNext w:val="0"/>
        <w:keepLines/>
      </w:pPr>
      <w:r>
        <w:rPr>
          <w:b/>
        </w:rPr>
        <w:t xml:space="preserve">公开风格  </w:t>
      </w:r>
      <w:r>
        <w:t>历史上与短线及事件交易相关的市场叙述很多，但本次没有核实到可公开复现的完整合法个人交易系统。最高人民法院官方资料提及徐翔操纵证券市场案；上交所刊载的法律研究讨论了相关案件。不能把涉及合谋及非公开信息的历史行为包装成可供普通用户复现的交易优势。</w:t>
      </w:r>
    </w:p>
    <w:p>
      <w:pPr>
        <w:keepNext w:val="0"/>
        <w:keepLines/>
      </w:pPr>
      <w:r>
        <w:rPr>
          <w:b/>
        </w:rPr>
        <w:t xml:space="preserve">回测逻辑  </w:t>
      </w:r>
      <w:r>
        <w:t>不建立‘徐翔真实策略’代理。若平台需要事件选手，可另行预注册匿名‘公告后事件动量’基线：只在上市公司公告公开且经过规定延迟后，用事件前后量价、流动性和行业相对强度决定是否交易；完整公布样本选择与执行限制。该基线与徐翔本人能力无对应关系，不模拟合谋、信息控制或交易操纵。</w:t>
      </w:r>
    </w:p>
    <w:p>
      <w:pPr>
        <w:keepNext w:val="0"/>
        <w:keepLines/>
      </w:pPr>
      <w:r>
        <w:rPr>
          <w:b/>
        </w:rPr>
        <w:t xml:space="preserve">所需数据  </w:t>
      </w:r>
      <w:r>
        <w:t>原始上市公司公告及精确公开时间、公告版本、当时股票池、分红与公司行动、退市及停牌信息、分钟行情、价限与成交约束；案件材料用于历史研究，不能作为未来交易信号。</w:t>
      </w:r>
    </w:p>
    <w:p>
      <w:pPr>
        <w:keepNext w:val="0"/>
        <w:keepLines/>
      </w:pPr>
      <w:r>
        <w:rPr>
          <w:b/>
        </w:rPr>
        <w:t xml:space="preserve">适用周期  </w:t>
      </w:r>
      <w:r>
        <w:t>若开发独立事件基线，公告后1—20个交易日；本人策略周期无法由本次资料可靠确定。</w:t>
      </w:r>
    </w:p>
    <w:p>
      <w:pPr>
        <w:keepNext w:val="0"/>
        <w:keepLines/>
      </w:pPr>
      <w:r>
        <w:rPr>
          <w:b/>
        </w:rPr>
        <w:t xml:space="preserve">能力边界  </w:t>
      </w:r>
      <w:r>
        <w:t>D针对‘可核实且可重建的个人交易规则’，不是否定官方案件材料的可靠性。公开司法事实不能证明存在可复制的合法盈利方法；市场传说及历史产品收益不足以还原完整交易。不能用一个简化事件策略冒充本人系统。</w:t>
      </w:r>
    </w:p>
    <w:p>
      <w:pPr>
        <w:keepNext/>
        <w:keepLines/>
      </w:pPr>
      <w:r>
        <w:rPr>
          <w:b/>
        </w:rPr>
        <w:t xml:space="preserve">上线建议  </w:t>
      </w:r>
      <w:r>
        <w:t>暂缓作为实名竞赛选手；可作为投资史与市场规则研究人物。若未来引入，需要新的可靠方法论资料与明确的可公开复现边界。</w:t>
      </w:r>
    </w:p>
    <w:p>
      <w:pPr>
        <w:pStyle w:val="SourceText"/>
        <w:keepNext/>
        <w:keepLines/>
      </w:pPr>
      <w:r>
        <w:t xml:space="preserve">02 来源1  </w:t>
      </w:r>
      <w:hyperlink r:id="rId20">
        <w:r>
          <w:rPr>
            <w:color w:val="194D78"/>
            <w:rFonts w:ascii="Arial" w:hAnsi="Arial" w:eastAsia="Songti SC"/>
            <w:sz w:val="18"/>
          </w:rPr>
          <w:t>最高人民法院发布7件人民法院依法惩处证券、期货犯罪典型案例（导言提及徐翔操纵证券市场案）</w:t>
        </w:r>
      </w:hyperlink>
      <w:r>
        <w:t xml:space="preserve">  最高人民法院官方公开材料；支持案件性质，不是个人策略说明</w:t>
      </w:r>
    </w:p>
    <w:p>
      <w:pPr>
        <w:pStyle w:val="SourceText"/>
        <w:keepNext w:val="0"/>
        <w:keepLines/>
      </w:pPr>
      <w:r>
        <w:t xml:space="preserve">02 来源2  </w:t>
      </w:r>
      <w:hyperlink r:id="rId21">
        <w:r>
          <w:rPr>
            <w:color w:val="194D78"/>
            <w:rFonts w:ascii="Arial" w:hAnsi="Arial" w:eastAsia="Songti SC"/>
            <w:sz w:val="18"/>
          </w:rPr>
          <w:t>徐翔操纵市场案中的法律与证据问题探微，《证券法苑》2017年第二十卷，第21—35页</w:t>
        </w:r>
      </w:hyperlink>
      <w:r>
        <w:t xml:space="preserve">  上交所官网刊载的署名法律研究；作者个人分析，并非法院判决原件</w:t>
      </w:r>
    </w:p>
    <w:p>
      <w:pPr>
        <w:pStyle w:val="Heading2"/>
      </w:pPr>
      <w:r>
        <w:t>03  林园</w:t>
      </w:r>
    </w:p>
    <w:p>
      <w:pPr>
        <w:pStyle w:val="SourceText"/>
        <w:keepNext/>
        <w:keepLines/>
      </w:pPr>
      <w:r>
        <w:t>中国  ｜  证据 A  ｜  回测实现度 中</w:t>
      </w:r>
    </w:p>
    <w:p>
      <w:pPr>
        <w:keepNext/>
        <w:keepLines/>
      </w:pPr>
      <w:r>
        <w:rPr>
          <w:b/>
        </w:rPr>
        <w:t xml:space="preserve">主要市场  </w:t>
      </w:r>
      <w:r>
        <w:t>以中国A股股票为主；公开访谈亦涉及港股与可转债</w:t>
      </w:r>
    </w:p>
    <w:p>
      <w:pPr>
        <w:keepNext w:val="0"/>
        <w:keepLines/>
      </w:pPr>
      <w:r>
        <w:rPr>
          <w:b/>
        </w:rPr>
        <w:t xml:space="preserve">公开风格  </w:t>
      </w:r>
      <w:r>
        <w:t>公司官网刊载本人访谈：重视消费、健康等需求领域，强调企业竞争地位、盈利和财务对比，承认不同期限对应不同策略，主张不借钱。此处只概括所列访谈中的原则，不将某一时期的市场判断固化为其永恒观点。</w:t>
      </w:r>
    </w:p>
    <w:p>
      <w:pPr>
        <w:keepNext w:val="0"/>
        <w:keepLines/>
      </w:pPr>
      <w:r>
        <w:rPr>
          <w:b/>
        </w:rPr>
        <w:t xml:space="preserve">回测逻辑  </w:t>
      </w:r>
      <w:r>
        <w:t>平台假设的‘消费健康质量’代理：以当时行业分类限定食品饮料、医药与医疗服务；使用已公告财务报表筛选最近5个可知年度自由现金流为正、3年平均ROIC居同行前30%、净负债率低于同行中位数的企业；按质量与同业估值综合排序持有10家，单股不超过15%，不用融资，季度检查。连续两期质量条件失效或进入同行估值最高10%时减仓。所有数值均为平台工程假设，不是林园公开参数。</w:t>
      </w:r>
    </w:p>
    <w:p>
      <w:pPr>
        <w:keepNext w:val="0"/>
        <w:keepLines/>
      </w:pPr>
      <w:r>
        <w:rPr>
          <w:b/>
        </w:rPr>
        <w:t xml:space="preserve">所需数据  </w:t>
      </w:r>
      <w:r>
        <w:t>按首次公告日存档的财报、历史行业分类、无幸存者偏差的A股股票池、公司行动与分红、退市和停牌信息、可交易价格及费用；需区分报表期间与实际公开日期。</w:t>
      </w:r>
    </w:p>
    <w:p>
      <w:pPr>
        <w:keepNext w:val="0"/>
        <w:keepLines/>
      </w:pPr>
      <w:r>
        <w:rPr>
          <w:b/>
        </w:rPr>
        <w:t xml:space="preserve">适用周期  </w:t>
      </w:r>
      <w:r>
        <w:t>季度检查，预期持有1—5年；比赛应设长期组，短赛只作阶段观察。</w:t>
      </w:r>
    </w:p>
    <w:p>
      <w:pPr>
        <w:keepNext w:val="0"/>
        <w:keepLines/>
      </w:pPr>
      <w:r>
        <w:rPr>
          <w:b/>
        </w:rPr>
        <w:t xml:space="preserve">能力边界  </w:t>
      </w:r>
      <w:r>
        <w:t>A说明所引原则有本人机构刊载资料，不说明已获得授权、参数完整或收益可复制。企业竞争优势、长期需求与管理质量不能完全用财务筛选替代；访谈为精简稿且存在时点依赖；本次不使用未经审计的个人财富增长故事。</w:t>
      </w:r>
    </w:p>
    <w:p>
      <w:pPr>
        <w:keepNext/>
        <w:keepLines/>
      </w:pPr>
      <w:r>
        <w:rPr>
          <w:b/>
        </w:rPr>
        <w:t xml:space="preserve">上线建议  </w:t>
      </w:r>
      <w:r>
        <w:t>首发候选，采用消费健康质量流派研究体；先用规则代理验证数据与长期表现，再逐条补充可核验的观点卡。公开人物名称和形象的使用另行确认。</w:t>
      </w:r>
    </w:p>
    <w:p>
      <w:pPr>
        <w:pStyle w:val="SourceText"/>
        <w:keepNext/>
        <w:keepLines/>
      </w:pPr>
      <w:r>
        <w:t xml:space="preserve">03 来源1  </w:t>
      </w:r>
      <w:hyperlink r:id="rId22">
        <w:r>
          <w:rPr>
            <w:color w:val="194D78"/>
            <w:rFonts w:ascii="Arial" w:hAnsi="Arial" w:eastAsia="Songti SC"/>
            <w:sz w:val="18"/>
          </w:rPr>
          <w:t>林园说牛市｜投资‘兜里有钱’的企业，当下港股的好股票比A股还贵（2021-04-09，公司官网刊载精简访谈实录）</w:t>
        </w:r>
      </w:hyperlink>
      <w:r>
        <w:t xml:space="preserve">  本人所属机构官网；中信建投节目访谈精简实录，非完整原始录像</w:t>
      </w:r>
    </w:p>
    <w:p>
      <w:pPr>
        <w:pStyle w:val="SourceText"/>
        <w:keepNext w:val="0"/>
        <w:keepLines/>
      </w:pPr>
      <w:r>
        <w:t xml:space="preserve">03 来源2  </w:t>
      </w:r>
      <w:hyperlink r:id="rId23">
        <w:r>
          <w:rPr>
            <w:color w:val="194D78"/>
            <w:rFonts w:ascii="Arial" w:hAnsi="Arial" w:eastAsia="Songti SC"/>
            <w:sz w:val="18"/>
          </w:rPr>
          <w:t>林园：重点关注出现‘问题’的行业，这两个赛道才是永恒的主题（2023-02-01，公司官网刊载）</w:t>
        </w:r>
      </w:hyperlink>
      <w:r>
        <w:t xml:space="preserve">  本人所属机构官网刊载的直播精简问答；包含不借贷等表述</w:t>
      </w:r>
    </w:p>
    <w:p>
      <w:pPr>
        <w:pStyle w:val="Heading2"/>
      </w:pPr>
      <w:r>
        <w:t>04  葛卫东</w:t>
      </w:r>
    </w:p>
    <w:p>
      <w:pPr>
        <w:pStyle w:val="SourceText"/>
        <w:keepNext/>
        <w:keepLines/>
      </w:pPr>
      <w:r>
        <w:t>中国（相关公开发行文件列为中国香港籍；机构主要位于上海）  ｜  证据 B  ｜  回测实现度 中</w:t>
      </w:r>
    </w:p>
    <w:p>
      <w:pPr>
        <w:keepNext/>
        <w:keepLines/>
      </w:pPr>
      <w:r>
        <w:rPr>
          <w:b/>
        </w:rPr>
        <w:t xml:space="preserve">主要市场  </w:t>
      </w:r>
      <w:r>
        <w:t>混沌投资公开覆盖A股、港股、美股，以及金属、能源、农产品和金融期货；机构范围不能等同个人全部账户</w:t>
      </w:r>
    </w:p>
    <w:p>
      <w:pPr>
        <w:keepNext w:val="0"/>
        <w:keepLines/>
      </w:pPr>
      <w:r>
        <w:rPr>
          <w:b/>
        </w:rPr>
        <w:t xml:space="preserve">公开风格  </w:t>
      </w:r>
      <w:r>
        <w:t>混沌投资官网的期货原则重视主要矛盾、方向判断，以及基本面、技术面与风险收益条件的结合；股票原则强调成长空间与竞争优势。发行文件支持葛卫东与混沌投资的控制关系，但机构理念不能直接认定为其个人完整交易系统。</w:t>
      </w:r>
    </w:p>
    <w:p>
      <w:pPr>
        <w:keepNext w:val="0"/>
        <w:keepLines/>
      </w:pPr>
      <w:r>
        <w:rPr>
          <w:b/>
        </w:rPr>
        <w:t xml:space="preserve">回测逻辑  </w:t>
      </w:r>
      <w:r>
        <w:t>平台假设的‘供需与趋势共振’代理：在预先固定的流动商品期货池中，月度基本面库存使用比处于过去5年下30%且3次发布连续下降，日线价格高于120日均线时做多；库存处于上30%且3次发布连续上升，价格低于120日均线时做空。各品种目标风险等额，组合年化波动目标10%，单笔3倍ATR止损。库存缺失的品种不参赛。阈值、技术指标、止损和风险预算全部是平台假设，不是葛卫东或混沌投资公布的参数。</w:t>
      </w:r>
    </w:p>
    <w:p>
      <w:pPr>
        <w:keepNext w:val="0"/>
        <w:keepLines/>
      </w:pPr>
      <w:r>
        <w:rPr>
          <w:b/>
        </w:rPr>
        <w:t xml:space="preserve">所需数据  </w:t>
      </w:r>
      <w:r>
        <w:t>带历史版本与公开时间的分品种供需、库存及成本数据，原始期货合约行情、合约乘数、涨跌停、保证金与手续费变更、换月和交割日历、流动性与仓位限制；需避免拼接连续合约制造虚假收益。</w:t>
      </w:r>
    </w:p>
    <w:p>
      <w:pPr>
        <w:keepNext w:val="0"/>
        <w:keepLines/>
      </w:pPr>
      <w:r>
        <w:rPr>
          <w:b/>
        </w:rPr>
        <w:t xml:space="preserve">适用周期  </w:t>
      </w:r>
      <w:r>
        <w:t>基本面月度更新、日度风控，持仓数周至数月；建议商品中周期组。</w:t>
      </w:r>
    </w:p>
    <w:p>
      <w:pPr>
        <w:keepNext w:val="0"/>
        <w:keepLines/>
      </w:pPr>
      <w:r>
        <w:rPr>
          <w:b/>
        </w:rPr>
        <w:t xml:space="preserve">能力边界  </w:t>
      </w:r>
      <w:r>
        <w:t>B表示可靠的机构原则与个人关联，缺少本人完整可执行规则。供需和趋势指标只是近似；研究团队、非公开产业信息、跨市场执行和主观判断不可由公开网页复刻。公开股东持仓是时点快照，不能倒推出入场价或全部业绩。</w:t>
      </w:r>
    </w:p>
    <w:p>
      <w:pPr>
        <w:keepNext/>
        <w:keepLines/>
      </w:pPr>
      <w:r>
        <w:rPr>
          <w:b/>
        </w:rPr>
        <w:t xml:space="preserve">上线建议  </w:t>
      </w:r>
      <w:r>
        <w:t>首发备选；以机构原则映射的商品共振流派呈现，并明确个人相似度尚未验证。先选择历史供需数据可得的少量商品，避免一开始同时复制其股票与期货能力。</w:t>
      </w:r>
    </w:p>
    <w:p>
      <w:pPr>
        <w:pStyle w:val="SourceText"/>
        <w:keepNext/>
        <w:keepLines/>
      </w:pPr>
      <w:r>
        <w:t xml:space="preserve">04 来源1  </w:t>
      </w:r>
      <w:hyperlink r:id="rId24">
        <w:r>
          <w:rPr>
            <w:color w:val="194D78"/>
            <w:rFonts w:ascii="Arial" w:hAnsi="Arial" w:eastAsia="Songti SC"/>
            <w:sz w:val="18"/>
          </w:rPr>
          <w:t>上海混沌投资（集团）有限公司官网：股票投资与期货投资理念</w:t>
        </w:r>
      </w:hyperlink>
      <w:r>
        <w:t xml:space="preserve">  本人关联机构官网；机构公开投资原则</w:t>
      </w:r>
    </w:p>
    <w:p>
      <w:pPr>
        <w:pStyle w:val="SourceText"/>
        <w:keepNext w:val="0"/>
        <w:keepLines/>
      </w:pPr>
      <w:r>
        <w:t xml:space="preserve">04 来源2  </w:t>
      </w:r>
      <w:hyperlink r:id="rId25">
        <w:r>
          <w:rPr>
            <w:color w:val="194D78"/>
            <w:rFonts w:ascii="Arial" w:hAnsi="Arial" w:eastAsia="Songti SC"/>
            <w:sz w:val="18"/>
          </w:rPr>
          <w:t>沐曦集成电路（上海）股份有限公司首次公开发行股票并在科创板上市招股意向书（2025-11-27，第四节葛卫东与混沌投资）</w:t>
        </w:r>
      </w:hyperlink>
      <w:r>
        <w:t xml:space="preserve">  公开发行法定披露文件；支持身份及机构控制关系，非其策略和业绩证明</w:t>
      </w:r>
    </w:p>
    <w:p>
      <w:pPr>
        <w:pStyle w:val="Heading2"/>
      </w:pPr>
      <w:r>
        <w:t>05  林广茂</w:t>
      </w:r>
    </w:p>
    <w:p>
      <w:pPr>
        <w:pStyle w:val="SourceText"/>
        <w:keepNext/>
        <w:keepLines/>
      </w:pPr>
      <w:r>
        <w:t>中国  ｜  证据 B  ｜  回测实现度 中</w:t>
      </w:r>
    </w:p>
    <w:p>
      <w:pPr>
        <w:keepNext/>
        <w:keepLines/>
      </w:pPr>
      <w:r>
        <w:rPr>
          <w:b/>
        </w:rPr>
        <w:t xml:space="preserve">主要市场  </w:t>
      </w:r>
      <w:r>
        <w:t>中国商品期货，公开原始发言以棉花为代表</w:t>
      </w:r>
    </w:p>
    <w:p>
      <w:pPr>
        <w:keepNext w:val="0"/>
        <w:keepLines/>
      </w:pPr>
      <w:r>
        <w:rPr>
          <w:b/>
        </w:rPr>
        <w:t xml:space="preserve">公开风格  </w:t>
      </w:r>
      <w:r>
        <w:t>2014年郑商所棉花论坛本人讲话全文强调供求、现货、实物交割与规则设计。该原始发言足以支持棉花产业与交割研究取向，无法支持网上流传的具体仓位、财富倍数或一套完整买卖系统。</w:t>
      </w:r>
    </w:p>
    <w:p>
      <w:pPr>
        <w:keepNext w:val="0"/>
        <w:keepLines/>
      </w:pPr>
      <w:r>
        <w:rPr>
          <w:b/>
        </w:rPr>
        <w:t xml:space="preserve">回测逻辑  </w:t>
      </w:r>
      <w:r>
        <w:t>平台假设的‘棉花现货约束’代理：只交易郑棉。每次月度供需资料公开后，若可交割品质与地区校准后的现货减期货基差位于过去3年上20%，且可知库存使用比连续3次下降，次一交易日建立风险受限多头；若基差回到历史中位数、供需改善连续两次确认或达到预注册最大持有期则退出。缺少品质、地点、税费一致的现货资料时不交易；到交割限制前统一换月。规则及数值均为平台假设，不是林广茂参数。</w:t>
      </w:r>
    </w:p>
    <w:p>
      <w:pPr>
        <w:keepNext w:val="0"/>
        <w:keepLines/>
      </w:pPr>
      <w:r>
        <w:rPr>
          <w:b/>
        </w:rPr>
        <w:t xml:space="preserve">所需数据  </w:t>
      </w:r>
      <w:r>
        <w:t>按公开时间归档的棉花产销、进口配额、政策收储抛储、库存和仓单数据；可交割质量的现货价、运费、税费；郑棉原始合约及交割规则历史版本、涨跌停、换月费用与成交限制。</w:t>
      </w:r>
    </w:p>
    <w:p>
      <w:pPr>
        <w:keepNext w:val="0"/>
        <w:keepLines/>
      </w:pPr>
      <w:r>
        <w:rPr>
          <w:b/>
        </w:rPr>
        <w:t xml:space="preserve">适用周期  </w:t>
      </w:r>
      <w:r>
        <w:t>月度产业判断、日度风控，数周至数季；棉花专题或商品中长周期组。</w:t>
      </w:r>
    </w:p>
    <w:p>
      <w:pPr>
        <w:keepNext w:val="0"/>
        <w:keepLines/>
      </w:pPr>
      <w:r>
        <w:rPr>
          <w:b/>
        </w:rPr>
        <w:t xml:space="preserve">能力边界  </w:t>
      </w:r>
      <w:r>
        <w:t>B表示有可定位的本人公开发言，但材料较窄，缺少完整方法论及参数。只有期货收盘价不足以回测该逻辑；历史政策和质量升贴水不能用今天规则替代；不采用未经独立核验的暴富数字，也不把集中重仓故事转成平台默认风控。</w:t>
      </w:r>
    </w:p>
    <w:p>
      <w:pPr>
        <w:keepNext/>
        <w:keepLines/>
      </w:pPr>
      <w:r>
        <w:rPr>
          <w:b/>
        </w:rPr>
        <w:t xml:space="preserve">上线建议  </w:t>
      </w:r>
      <w:r>
        <w:t>第二批候选或首发棉花专题观察员；先完成现货、仓单、政策时间线后再进入正式收益排名。</w:t>
      </w:r>
    </w:p>
    <w:p>
      <w:pPr>
        <w:pStyle w:val="SourceText"/>
        <w:keepNext w:val="0"/>
        <w:keepLines/>
      </w:pPr>
      <w:r>
        <w:t xml:space="preserve">05 来源1  </w:t>
      </w:r>
      <w:hyperlink r:id="rId26">
        <w:r>
          <w:rPr>
            <w:color w:val="194D78"/>
            <w:rFonts w:ascii="Arial" w:hAnsi="Arial" w:eastAsia="Songti SC"/>
            <w:sz w:val="18"/>
          </w:rPr>
          <w:t>林广茂：期货必须回归到现货和实物交割（2014年郑州农产品棉花期货论坛讲话全文）</w:t>
        </w:r>
      </w:hyperlink>
      <w:r>
        <w:t xml:space="preserve">  新浪财经在郑商所主办论坛的现场署名图文及讲话全文；直接发言记录</w:t>
      </w:r>
    </w:p>
    <w:p>
      <w:pPr>
        <w:pStyle w:val="Heading2"/>
      </w:pPr>
      <w:r>
        <w:t>06  傅海棠</w:t>
      </w:r>
    </w:p>
    <w:p>
      <w:pPr>
        <w:pStyle w:val="SourceText"/>
        <w:keepNext/>
        <w:keepLines/>
      </w:pPr>
      <w:r>
        <w:t>中国  ｜  证据 A  ｜  回测实现度 中</w:t>
      </w:r>
    </w:p>
    <w:p>
      <w:pPr>
        <w:keepNext/>
        <w:keepLines/>
      </w:pPr>
      <w:r>
        <w:rPr>
          <w:b/>
        </w:rPr>
        <w:t xml:space="preserve">主要市场  </w:t>
      </w:r>
      <w:r>
        <w:t>中国商品期货，公开访谈重点包括农产品；历史电子盘经历不能直接视为现代交易所期货可复制策略</w:t>
      </w:r>
    </w:p>
    <w:p>
      <w:pPr>
        <w:keepNext w:val="0"/>
        <w:keepLines/>
      </w:pPr>
      <w:r>
        <w:rPr>
          <w:b/>
        </w:rPr>
        <w:t xml:space="preserve">公开风格  </w:t>
      </w:r>
      <w:r>
        <w:t>期货中国原始专访直接讨论供求与价格位置、生产成本、播种面积及实地调查；他明确偏向基本面，并解释主要品种集中研究和条件改变时修正判断。这里只提炼其叙述中的研究原则，不采纳其中确定性收益措辞为事实保证。</w:t>
      </w:r>
    </w:p>
    <w:p>
      <w:pPr>
        <w:keepNext w:val="0"/>
        <w:keepLines/>
      </w:pPr>
      <w:r>
        <w:rPr>
          <w:b/>
        </w:rPr>
        <w:t xml:space="preserve">回测逻辑  </w:t>
      </w:r>
      <w:r>
        <w:t>平台假设的‘农产品供需价值’代理：固定棉花、豆粕等有可靠历史供需资料的品种；只使用决策日之前实际公开的数据。当库存使用比处于可知过去5年下30%、最近两次供需报告收紧且期货价不高于当时可知标准化生产成本1.1倍时建立多头；相反的高库存、高价格条件可进入独立空头实验。供需逻辑失效或价格达到成本1.5倍时减仓退出。平台另设统一保证金和风险预算。所有阈值、退出规则及风险参数为工程假设，不能称为本人完整方法。</w:t>
      </w:r>
    </w:p>
    <w:p>
      <w:pPr>
        <w:keepNext w:val="0"/>
        <w:keepLines/>
      </w:pPr>
      <w:r>
        <w:rPr>
          <w:b/>
        </w:rPr>
        <w:t xml:space="preserve">所需数据  </w:t>
      </w:r>
      <w:r>
        <w:t>供需平衡表的历史发布版本、库存与消费量、播种面积、天气和产量预估的当时版本、地区可比的成本与现货价格；原始期货合约、交割和换月、保证金及价限、费用与成交限制。只有修订后的年度成本或库存最终值时，必须标注数据缺口并停止相应历史回测。</w:t>
      </w:r>
    </w:p>
    <w:p>
      <w:pPr>
        <w:keepNext w:val="0"/>
        <w:keepLines/>
      </w:pPr>
      <w:r>
        <w:rPr>
          <w:b/>
        </w:rPr>
        <w:t xml:space="preserve">适用周期  </w:t>
      </w:r>
      <w:r>
        <w:t>月度或报告事件决策、每日风控，持有数周至一年；宜用多年历史与长期前向观察。</w:t>
      </w:r>
    </w:p>
    <w:p>
      <w:pPr>
        <w:keepNext w:val="0"/>
        <w:keepLines/>
      </w:pPr>
      <w:r>
        <w:rPr>
          <w:b/>
        </w:rPr>
        <w:t xml:space="preserve">能力边界  </w:t>
      </w:r>
      <w:r>
        <w:t>A表示有原始系统问答，不表示自述收益经审计或调查优势可被复制。田间调研、人际信息网络、对价格高低和政策的主观理解难以量化；生产成本、库存的地域口径与发布滞后可能阻止可信回测；模型不得编造实地调查结论。</w:t>
      </w:r>
    </w:p>
    <w:p>
      <w:pPr>
        <w:keepNext/>
        <w:keepLines/>
      </w:pPr>
      <w:r>
        <w:rPr>
          <w:b/>
        </w:rPr>
        <w:t xml:space="preserve">上线建议  </w:t>
      </w:r>
      <w:r>
        <w:t>首发商品组重点候选，但先验证至少一个品种的时点数据；命名为供需价值研究体，逐项展示哪些原则来自访谈、哪些参数来自平台。</w:t>
      </w:r>
    </w:p>
    <w:p>
      <w:pPr>
        <w:pStyle w:val="SourceText"/>
        <w:keepNext/>
        <w:keepLines/>
      </w:pPr>
      <w:r>
        <w:t xml:space="preserve">06 来源1  </w:t>
      </w:r>
      <w:hyperlink r:id="rId27">
        <w:r>
          <w:rPr>
            <w:color w:val="194D78"/>
            <w:rFonts w:ascii="Arial" w:hAnsi="Arial" w:eastAsia="Songti SC"/>
            <w:sz w:val="18"/>
          </w:rPr>
          <w:t>期货中国专访傅海棠：天道就是市场，有自己的运行规律（第2页，含问题3—11）</w:t>
        </w:r>
      </w:hyperlink>
      <w:r>
        <w:t xml:space="preserve">  原始采访机构刊载的本人问答；直接方法论来源</w:t>
      </w:r>
    </w:p>
    <w:p>
      <w:pPr>
        <w:pStyle w:val="SourceText"/>
        <w:keepNext w:val="0"/>
        <w:keepLines/>
      </w:pPr>
      <w:r>
        <w:t xml:space="preserve">06 来源2  </w:t>
      </w:r>
      <w:hyperlink r:id="rId28">
        <w:r>
          <w:rPr>
            <w:color w:val="194D78"/>
            <w:rFonts w:ascii="Arial" w:hAnsi="Arial" w:eastAsia="Songti SC"/>
            <w:sz w:val="18"/>
          </w:rPr>
          <w:t>期货中国专访傅海棠：天道就是市场，有自己的运行规律（第1页）</w:t>
        </w:r>
      </w:hyperlink>
      <w:r>
        <w:t xml:space="preserve">  原始采访机构刊载；收益经历为受访者自述，未作为审计证明</w:t>
      </w:r>
    </w:p>
    <w:p>
      <w:pPr>
        <w:pStyle w:val="Heading2"/>
      </w:pPr>
      <w:r>
        <w:t>07  李录</w:t>
      </w:r>
    </w:p>
    <w:p>
      <w:pPr>
        <w:pStyle w:val="SourceText"/>
        <w:keepNext/>
        <w:keepLines/>
      </w:pPr>
      <w:r>
        <w:t>美国机构／中国出生；按华语与中国背景人物分组，不将出生地等同现国籍  ｜  证据 A  ｜  回测实现度 中</w:t>
      </w:r>
    </w:p>
    <w:p>
      <w:pPr>
        <w:keepNext/>
        <w:keepLines/>
      </w:pPr>
      <w:r>
        <w:rPr>
          <w:b/>
        </w:rPr>
        <w:t xml:space="preserve">主要市场  </w:t>
      </w:r>
      <w:r>
        <w:t>喜马拉雅资本公开说明主要关注亚洲与北美上市公司</w:t>
      </w:r>
    </w:p>
    <w:p>
      <w:pPr>
        <w:keepNext w:val="0"/>
        <w:keepLines/>
      </w:pPr>
      <w:r>
        <w:rPr>
          <w:b/>
        </w:rPr>
        <w:t xml:space="preserve">公开风格  </w:t>
      </w:r>
      <w:r>
        <w:t>喜马拉雅资本官网直接说明长期企业所有者视角、优质企业、护城河、成长空间和可信管理团队，并刊载李录关于耐心等待熟悉机会的文字。公开原则支持长期质量价值流派，不能还原其估值模型、研究流程或真实组合。</w:t>
      </w:r>
    </w:p>
    <w:p>
      <w:pPr>
        <w:keepNext w:val="0"/>
        <w:keepLines/>
      </w:pPr>
      <w:r>
        <w:rPr>
          <w:b/>
        </w:rPr>
        <w:t xml:space="preserve">回测逻辑  </w:t>
      </w:r>
      <w:r>
        <w:t>平台假设的‘护城河与安全边际’代理：在预注册的亚洲与北美股票池中，使用当时已公开的5年财务资料筛选持续正自由现金流、ROIC高于资本成本、利润率相对同行稳定且低财务杠杆的企业；用固定现金流估值模板与预注册折现率计算保守价值，价格低于保守价值30%时才建仓，持有5—10家并容许现金。每季核验质量、每年更新估值；质量恶化或价格显著超出价值时减仓。阈值、估值假设、组合数量与风险预算均属平台设计，不是李录公开参数。</w:t>
      </w:r>
    </w:p>
    <w:p>
      <w:pPr>
        <w:keepNext w:val="0"/>
        <w:keepLines/>
      </w:pPr>
      <w:r>
        <w:rPr>
          <w:b/>
        </w:rPr>
        <w:t xml:space="preserve">所需数据  </w:t>
      </w:r>
      <w:r>
        <w:t>各市场财报首次公开时间、币种与汇率、历史股票池及退市、公司行动、分红税费和交易日历；原始财报与重述版本分离；管理层诚信和护城河的定性证据须有当时可知来源。若利用公开持仓披露，只能从其实际披露日后观察，不能回填季末交易。</w:t>
      </w:r>
    </w:p>
    <w:p>
      <w:pPr>
        <w:keepNext w:val="0"/>
        <w:keepLines/>
      </w:pPr>
      <w:r>
        <w:rPr>
          <w:b/>
        </w:rPr>
        <w:t xml:space="preserve">适用周期  </w:t>
      </w:r>
      <w:r>
        <w:t>季度检查，预期持有3—10年；进入长期投资组，至少一年赛季并持续滚动记录。</w:t>
      </w:r>
    </w:p>
    <w:p>
      <w:pPr>
        <w:keepNext w:val="0"/>
        <w:keepLines/>
      </w:pPr>
      <w:r>
        <w:rPr>
          <w:b/>
        </w:rPr>
        <w:t xml:space="preserve">能力边界  </w:t>
      </w:r>
      <w:r>
        <w:t>A表示公开原则可追溯，并非完整策略公开。护城河、能力边界及管理层判断不等于财务因子；估值对增长与折现率敏感，必须公开敏感性；官网机构陈述与本次材料不能证明私人基金完整收益。美国机构所在地、中国出生背景及国籍须分字段，避免国家榜归属误导。</w:t>
      </w:r>
    </w:p>
    <w:p>
      <w:pPr>
        <w:keepNext/>
        <w:keepLines/>
      </w:pPr>
      <w:r>
        <w:rPr>
          <w:b/>
        </w:rPr>
        <w:t xml:space="preserve">上线建议  </w:t>
      </w:r>
      <w:r>
        <w:t>首发长期股票组重点候选。以质量价值研究体做规则基线；用于展示长期少交易和持有现金的合理性，不参加短周期交易频率竞赛。</w:t>
      </w:r>
    </w:p>
    <w:p>
      <w:pPr>
        <w:pStyle w:val="SourceText"/>
        <w:keepNext/>
        <w:keepLines/>
      </w:pPr>
      <w:r>
        <w:t xml:space="preserve">07 来源1  </w:t>
      </w:r>
      <w:hyperlink r:id="rId29">
        <w:r>
          <w:rPr>
            <w:color w:val="194D78"/>
            <w:rFonts w:ascii="Arial" w:hAnsi="Arial" w:eastAsia="Songti SC"/>
            <w:sz w:val="18"/>
          </w:rPr>
          <w:t>喜马拉雅资本官网：公司简介、投资原则与管理团队（中文版）</w:t>
        </w:r>
      </w:hyperlink>
      <w:r>
        <w:t xml:space="preserve">  本人创办机构官网；包含本人署名投资原则与官方履历</w:t>
      </w:r>
    </w:p>
    <w:p>
      <w:pPr>
        <w:pStyle w:val="SourceText"/>
        <w:keepNext w:val="0"/>
        <w:keepLines/>
      </w:pPr>
      <w:r>
        <w:t xml:space="preserve">07 来源2  </w:t>
      </w:r>
      <w:hyperlink r:id="rId30">
        <w:r>
          <w:rPr>
            <w:color w:val="194D78"/>
            <w:rFonts w:ascii="Arial" w:hAnsi="Arial" w:eastAsia="Songti SC"/>
            <w:sz w:val="18"/>
          </w:rPr>
          <w:t>Himalaya Capital: What We Do and Investment Philosophy</w:t>
        </w:r>
      </w:hyperlink>
      <w:r>
        <w:t xml:space="preserve">  同一机构英文原版，用于交叉确认语义；不是第二个独立证据来源</w:t>
      </w:r>
    </w:p>
    <w:p>
      <w:pPr>
        <w:pStyle w:val="Heading1"/>
      </w:pPr>
      <w:r>
        <w:t>12  欧美股票与期货人物</w:t>
      </w:r>
    </w:p>
    <w:p>
      <w:pPr>
        <w:pStyle w:val="Heading2"/>
      </w:pPr>
      <w:r>
        <w:t>08  Warren Buffett</w:t>
      </w:r>
    </w:p>
    <w:p>
      <w:pPr>
        <w:pStyle w:val="SourceText"/>
        <w:keepNext/>
        <w:keepLines/>
      </w:pPr>
      <w:r>
        <w:t>美国  ｜  证据 A  ｜  回测实现度 中</w:t>
      </w:r>
    </w:p>
    <w:p>
      <w:pPr>
        <w:keepNext/>
        <w:keepLines/>
      </w:pPr>
      <w:r>
        <w:rPr>
          <w:b/>
        </w:rPr>
        <w:t xml:space="preserve">主要市场  </w:t>
      </w:r>
      <w:r>
        <w:t>美国及全球股票、企业股权；首个代理限美国普通股</w:t>
      </w:r>
    </w:p>
    <w:p>
      <w:pPr>
        <w:keepNext w:val="0"/>
        <w:keepLines/>
      </w:pPr>
      <w:r>
        <w:rPr>
          <w:b/>
        </w:rPr>
        <w:t xml:space="preserve">公开风格  </w:t>
      </w:r>
      <w:r>
        <w:t>以企业所有者视角评估长期价值，重视持续盈利能力、资本配置与买入价格，允许长期不交易。</w:t>
      </w:r>
    </w:p>
    <w:p>
      <w:pPr>
        <w:keepNext w:val="0"/>
        <w:keepLines/>
      </w:pPr>
      <w:r>
        <w:rPr>
          <w:b/>
        </w:rPr>
        <w:t xml:space="preserve">回测逻辑  </w:t>
      </w:r>
      <w:r>
        <w:t>平台假设版：每季在非金融美股中筛选过去五年盈利与现金流稳定、资本回报较高且负债可控的公司，使用预注册的保守现金流估值，只有价格低于估值安全边际时买入；质量条件失效或估值优势消失时退出。筛选阈值、现金流预测、折现率、安全边际、持仓数和再平衡均为平台设定，不能称为巴菲特本人参数。</w:t>
      </w:r>
    </w:p>
    <w:p>
      <w:pPr>
        <w:keepNext w:val="0"/>
        <w:keepLines/>
      </w:pPr>
      <w:r>
        <w:rPr>
          <w:b/>
        </w:rPr>
        <w:t xml:space="preserve">所需数据  </w:t>
      </w:r>
      <w:r>
        <w:t>带原始披露时间的五至十年财报、股本变动、分红与拆股、退市记录、行业分类和可交易价格；维护资本支出难以直接观测，必须披露估算方法。</w:t>
      </w:r>
    </w:p>
    <w:p>
      <w:pPr>
        <w:keepNext w:val="0"/>
        <w:keepLines/>
      </w:pPr>
      <w:r>
        <w:rPr>
          <w:b/>
        </w:rPr>
        <w:t xml:space="preserve">适用周期  </w:t>
      </w:r>
      <w:r>
        <w:t>季度评估；持有数月至数年；有效性观察至少跨多个年度及市场阶段。</w:t>
      </w:r>
    </w:p>
    <w:p>
      <w:pPr>
        <w:keepNext w:val="0"/>
        <w:keepLines/>
      </w:pPr>
      <w:r>
        <w:rPr>
          <w:b/>
        </w:rPr>
        <w:t xml:space="preserve">能力边界  </w:t>
      </w:r>
      <w:r>
        <w:t>一手思想资料充足，但护城河、管理层和内在价值含判断，不能用ROE或低市盈率完全代替。Berkshire企业收购、保险资金结构及谈判机会不适用于普通股模拟账户；公开13F存在披露滞后，也不是完整实时组合。</w:t>
      </w:r>
    </w:p>
    <w:p>
      <w:pPr>
        <w:keepNext/>
        <w:keepLines/>
      </w:pPr>
      <w:r>
        <w:rPr>
          <w:b/>
        </w:rPr>
        <w:t xml:space="preserve">上线建议  </w:t>
      </w:r>
      <w:r>
        <w:t>建议首发长期股票赛道，以“企业价值风格研究代理”展示；需要独立于周度短线榜的长期观察。</w:t>
      </w:r>
    </w:p>
    <w:p>
      <w:pPr>
        <w:pStyle w:val="SourceText"/>
        <w:keepNext/>
        <w:keepLines/>
      </w:pPr>
      <w:r>
        <w:t xml:space="preserve">08 来源1  </w:t>
      </w:r>
      <w:hyperlink r:id="rId31">
        <w:r>
          <w:rPr>
            <w:color w:val="194D78"/>
            <w:rFonts w:ascii="Arial" w:hAnsi="Arial" w:eastAsia="Songti SC"/>
            <w:sz w:val="18"/>
          </w:rPr>
          <w:t>An Owner's Manual — Berkshire Hathaway（2001年年报所载版本）</w:t>
        </w:r>
      </w:hyperlink>
      <w:r>
        <w:t xml:space="preserve">  本人撰写、所属公司官网保存的股东文件；内在价值与长期持有原则</w:t>
      </w:r>
    </w:p>
    <w:p>
      <w:pPr>
        <w:pStyle w:val="SourceText"/>
        <w:keepNext/>
        <w:keepLines/>
      </w:pPr>
      <w:r>
        <w:t xml:space="preserve">08 来源2  </w:t>
      </w:r>
      <w:hyperlink r:id="rId32">
        <w:r>
          <w:rPr>
            <w:color w:val="194D78"/>
            <w:rFonts w:ascii="Arial" w:hAnsi="Arial" w:eastAsia="Songti SC"/>
            <w:sz w:val="18"/>
          </w:rPr>
          <w:t>Chairman's Letter — 1986（含 owner earnings 附录）</w:t>
        </w:r>
      </w:hyperlink>
      <w:r>
        <w:t xml:space="preserve">  本人股东信原文；所有者收益定义及维持性资本支出的估计边界</w:t>
      </w:r>
    </w:p>
    <w:p>
      <w:pPr>
        <w:pStyle w:val="SourceText"/>
        <w:keepNext w:val="0"/>
        <w:keepLines/>
      </w:pPr>
      <w:r>
        <w:t xml:space="preserve">08 来源3  </w:t>
      </w:r>
      <w:hyperlink r:id="rId33">
        <w:r>
          <w:rPr>
            <w:color w:val="194D78"/>
            <w:rFonts w:ascii="Arial" w:hAnsi="Arial" w:eastAsia="Songti SC"/>
            <w:sz w:val="18"/>
          </w:rPr>
          <w:t>Chairman's Letter — 1992</w:t>
        </w:r>
      </w:hyperlink>
      <w:r>
        <w:t xml:space="preserve">  本人股东信原文；资本配置、长期投资与债务态度</w:t>
      </w:r>
    </w:p>
    <w:p>
      <w:pPr>
        <w:pStyle w:val="Heading2"/>
      </w:pPr>
      <w:r>
        <w:t>09  Peter Lynch</w:t>
      </w:r>
    </w:p>
    <w:p>
      <w:pPr>
        <w:pStyle w:val="SourceText"/>
        <w:keepNext/>
        <w:keepLines/>
      </w:pPr>
      <w:r>
        <w:t>美国  ｜  证据 A  ｜  回测实现度 中</w:t>
      </w:r>
    </w:p>
    <w:p>
      <w:pPr>
        <w:keepNext/>
        <w:keepLines/>
      </w:pPr>
      <w:r>
        <w:rPr>
          <w:b/>
        </w:rPr>
        <w:t xml:space="preserve">主要市场  </w:t>
      </w:r>
      <w:r>
        <w:t>股票；主要公开经验来自美国股票基金管理</w:t>
      </w:r>
    </w:p>
    <w:p>
      <w:pPr>
        <w:keepNext w:val="0"/>
        <w:keepLines/>
      </w:pPr>
      <w:r>
        <w:rPr>
          <w:b/>
        </w:rPr>
        <w:t xml:space="preserve">公开风格  </w:t>
      </w:r>
      <w:r>
        <w:t>从熟悉的产品与企业出发研究基本面，结合成长与价格，区分成长股、周期股、困境反转等不同公司类型。</w:t>
      </w:r>
    </w:p>
    <w:p>
      <w:pPr>
        <w:keepNext w:val="0"/>
        <w:keepLines/>
      </w:pPr>
      <w:r>
        <w:rPr>
          <w:b/>
        </w:rPr>
        <w:t xml:space="preserve">回测逻辑  </w:t>
      </w:r>
      <w:r>
        <w:t>平台假设版：只实现成长合理估值子策略；过去三年EPS复合增长为正，以当时已公布的历史增长计算PEG代理，排除盈利质量恶化和高杠杆公司；按PEG与盈利增长联合排序形成分散组合，季度复核并在增长转负或估值过高时退出。增长区间、PEG上限、财务过滤与持仓数由平台冻结；历史增长PEG不是对林奇全部选股方法的复刻。</w:t>
      </w:r>
    </w:p>
    <w:p>
      <w:pPr>
        <w:keepNext w:val="0"/>
        <w:keepLines/>
      </w:pPr>
      <w:r>
        <w:rPr>
          <w:b/>
        </w:rPr>
        <w:t xml:space="preserve">所需数据  </w:t>
      </w:r>
      <w:r>
        <w:t>按披露日可得的季度及年度EPS、收入、现金流、负债、股价、行业和公司行动；若引入盈利预期必须有当时版本，不能使用后来修订的预测。</w:t>
      </w:r>
    </w:p>
    <w:p>
      <w:pPr>
        <w:keepNext w:val="0"/>
        <w:keepLines/>
      </w:pPr>
      <w:r>
        <w:rPr>
          <w:b/>
        </w:rPr>
        <w:t xml:space="preserve">适用周期  </w:t>
      </w:r>
      <w:r>
        <w:t>季度更新；持有数月至数年。</w:t>
      </w:r>
    </w:p>
    <w:p>
      <w:pPr>
        <w:keepNext w:val="0"/>
        <w:keepLines/>
      </w:pPr>
      <w:r>
        <w:rPr>
          <w:b/>
        </w:rPr>
        <w:t xml:space="preserve">能力边界  </w:t>
      </w:r>
      <w:r>
        <w:t>读懂企业与实地观察不能被“买熟悉品牌”代替；同一PEG公式不适用于所有周期股或亏损反转股。公开书籍支持思想提炼，但未给出可直接复现其历史基金组合的完整日常决策系统。</w:t>
      </w:r>
    </w:p>
    <w:p>
      <w:pPr>
        <w:keepNext/>
        <w:keepLines/>
      </w:pPr>
      <w:r>
        <w:rPr>
          <w:b/>
        </w:rPr>
        <w:t xml:space="preserve">上线建议  </w:t>
      </w:r>
      <w:r>
        <w:t>建议首发股票赛道，与质量价值、成长突破形成清晰对照；名称与页面应说明仅研究公开思想。</w:t>
      </w:r>
    </w:p>
    <w:p>
      <w:pPr>
        <w:pStyle w:val="SourceText"/>
        <w:keepNext/>
        <w:keepLines/>
      </w:pPr>
      <w:r>
        <w:t xml:space="preserve">09 来源1  </w:t>
      </w:r>
      <w:hyperlink r:id="rId34">
        <w:r>
          <w:rPr>
            <w:color w:val="194D78"/>
            <w:rFonts w:ascii="Arial" w:hAnsi="Arial" w:eastAsia="Songti SC"/>
            <w:sz w:val="18"/>
          </w:rPr>
          <w:t>One Up On Wall Street — Peter Lynch / John Rothchild</w:t>
        </w:r>
      </w:hyperlink>
      <w:r>
        <w:t xml:space="preserve">  本人合著、出版社正式书页与公开节选；强调公司故事、财报与长期投资</w:t>
      </w:r>
    </w:p>
    <w:p>
      <w:pPr>
        <w:pStyle w:val="SourceText"/>
        <w:keepNext w:val="0"/>
        <w:keepLines/>
      </w:pPr>
      <w:r>
        <w:t xml:space="preserve">09 来源2  </w:t>
      </w:r>
      <w:hyperlink r:id="rId35">
        <w:r>
          <w:rPr>
            <w:color w:val="194D78"/>
            <w:rFonts w:ascii="Arial" w:hAnsi="Arial" w:eastAsia="Songti SC"/>
            <w:sz w:val="18"/>
          </w:rPr>
          <w:t>Learn from investing legends for 2020 &amp; Beyond</w:t>
        </w:r>
      </w:hyperlink>
      <w:r>
        <w:t xml:space="preserve">  Fidelity机构教育材料；含林奇与PEG思路的正式介绍，属于机构转述</w:t>
      </w:r>
    </w:p>
    <w:p>
      <w:pPr>
        <w:pStyle w:val="Heading2"/>
      </w:pPr>
      <w:r>
        <w:t>10  Benjamin Graham</w:t>
      </w:r>
    </w:p>
    <w:p>
      <w:pPr>
        <w:pStyle w:val="SourceText"/>
        <w:keepNext/>
        <w:keepLines/>
      </w:pPr>
      <w:r>
        <w:t>英国出生／美国投资生涯  ｜  证据 A  ｜  回测实现度 高</w:t>
      </w:r>
    </w:p>
    <w:p>
      <w:pPr>
        <w:keepNext/>
        <w:keepLines/>
      </w:pPr>
      <w:r>
        <w:rPr>
          <w:b/>
        </w:rPr>
        <w:t xml:space="preserve">主要市场  </w:t>
      </w:r>
      <w:r>
        <w:t>美国股票、债券及特殊情况投资；首个代理限股票</w:t>
      </w:r>
    </w:p>
    <w:p>
      <w:pPr>
        <w:keepNext w:val="0"/>
        <w:keepLines/>
      </w:pPr>
      <w:r>
        <w:rPr>
          <w:b/>
        </w:rPr>
        <w:t xml:space="preserve">公开风格  </w:t>
      </w:r>
      <w:r>
        <w:t>安全边际、低估值与分散投资；其晚年访谈讨论以简单估值条件构造股票组合。</w:t>
      </w:r>
    </w:p>
    <w:p>
      <w:pPr>
        <w:keepNext w:val="0"/>
        <w:keepLines/>
      </w:pPr>
      <w:r>
        <w:rPr>
          <w:b/>
        </w:rPr>
        <w:t xml:space="preserve">回测逻辑  </w:t>
      </w:r>
      <w:r>
        <w:t>可先实现晚年低估值篮子代理：使用正的TTM盈利，要求盈利收益率相对同期AAA债收益率具有足够优势；本人1976年访谈明确讨论约两倍债券收益率及市盈率上限。平台额外规定债务过滤、最小流动性、最多30只等权、年度再平衡和持有期限。不能将上述新增执行规则归为本人原规则；也可另建净流动资产折价版本，但须逐条核对原书会计定义。</w:t>
      </w:r>
    </w:p>
    <w:p>
      <w:pPr>
        <w:keepNext w:val="0"/>
        <w:keepLines/>
      </w:pPr>
      <w:r>
        <w:rPr>
          <w:b/>
        </w:rPr>
        <w:t xml:space="preserve">所需数据  </w:t>
      </w:r>
      <w:r>
        <w:t>当时已公布的EPS、债务与净资产，AAA债收益率历史、退市与清算记录、成交量、分红和公司行动；严格按财报可用日期加入股票池。</w:t>
      </w:r>
    </w:p>
    <w:p>
      <w:pPr>
        <w:keepNext w:val="0"/>
        <w:keepLines/>
      </w:pPr>
      <w:r>
        <w:rPr>
          <w:b/>
        </w:rPr>
        <w:t xml:space="preserve">适用周期  </w:t>
      </w:r>
      <w:r>
        <w:t>半年或年度调仓；持有一年至数年。</w:t>
      </w:r>
    </w:p>
    <w:p>
      <w:pPr>
        <w:keepNext w:val="0"/>
        <w:keepLines/>
      </w:pPr>
      <w:r>
        <w:rPr>
          <w:b/>
        </w:rPr>
        <w:t xml:space="preserve">能力边界  </w:t>
      </w:r>
      <w:r>
        <w:t>低估值代理较易回测，但不覆盖套利、特殊情况与全部生涯；极低估值股票可能有财务困境和成交约束。不能把本人访谈中的历史判断或乐观表述转化为当代收益保证。</w:t>
      </w:r>
    </w:p>
    <w:p>
      <w:pPr>
        <w:keepNext/>
        <w:keepLines/>
      </w:pPr>
      <w:r>
        <w:rPr>
          <w:b/>
        </w:rPr>
        <w:t xml:space="preserve">上线建议  </w:t>
      </w:r>
      <w:r>
        <w:t>建议首发，作为规则透明的价值派代表；优先美国历史数据完整股票池，跨国迁移另验会计口径。</w:t>
      </w:r>
    </w:p>
    <w:p>
      <w:pPr>
        <w:pStyle w:val="SourceText"/>
        <w:keepNext/>
        <w:keepLines/>
      </w:pPr>
      <w:r>
        <w:t xml:space="preserve">10 来源1  </w:t>
      </w:r>
      <w:hyperlink r:id="rId36">
        <w:r>
          <w:rPr>
            <w:color w:val="194D78"/>
            <w:rFonts w:ascii="Arial" w:hAnsi="Arial" w:eastAsia="Songti SC"/>
            <w:sz w:val="18"/>
          </w:rPr>
          <w:t>Benjamin Graham, The Father of Financial Analysis（含 An Hour with Mr. Graham, March 1976，原书页33—41）</w:t>
        </w:r>
      </w:hyperlink>
      <w:r>
        <w:t xml:space="preserve">  CFA Institute Research Foundation正式出版物；含本人访谈全文，可直接核验晚年选股思想</w:t>
      </w:r>
    </w:p>
    <w:p>
      <w:pPr>
        <w:pStyle w:val="SourceText"/>
        <w:keepNext/>
        <w:keepLines/>
      </w:pPr>
      <w:r>
        <w:t xml:space="preserve">10 来源2  </w:t>
      </w:r>
      <w:hyperlink r:id="rId37">
        <w:r>
          <w:rPr>
            <w:color w:val="194D78"/>
            <w:rFonts w:ascii="Arial" w:hAnsi="Arial" w:eastAsia="Songti SC"/>
            <w:sz w:val="18"/>
          </w:rPr>
          <w:t>The Intelligent Investor — The Classic Text on Value Investing</w:t>
        </w:r>
      </w:hyperlink>
      <w:r>
        <w:t xml:space="preserve">  本人著作的HarperCollins正式书页；该网页主要核验书目，不代表已取得全书规则</w:t>
      </w:r>
    </w:p>
    <w:p>
      <w:pPr>
        <w:pStyle w:val="SourceText"/>
        <w:keepNext w:val="0"/>
        <w:keepLines/>
      </w:pPr>
      <w:r>
        <w:t xml:space="preserve">10 来源3  </w:t>
      </w:r>
      <w:hyperlink r:id="rId38">
        <w:r>
          <w:rPr>
            <w:color w:val="194D78"/>
            <w:rFonts w:ascii="Arial" w:hAnsi="Arial" w:eastAsia="Songti SC"/>
            <w:sz w:val="18"/>
          </w:rPr>
          <w:t>Security Analysis, Seventh Edition: Principles and Techniques</w:t>
        </w:r>
      </w:hyperlink>
      <w:r>
        <w:t xml:space="preserve">  Graham与Dodd经典著作的出版社正式书页；新版包含后人评论，须区分原文与新增内容</w:t>
      </w:r>
    </w:p>
    <w:p>
      <w:pPr>
        <w:pStyle w:val="Heading2"/>
      </w:pPr>
      <w:r>
        <w:t>11  George Soros</w:t>
      </w:r>
    </w:p>
    <w:p>
      <w:pPr>
        <w:pStyle w:val="SourceText"/>
        <w:keepNext/>
        <w:keepLines/>
      </w:pPr>
      <w:r>
        <w:t>匈牙利出生／美国投资生涯  ｜  证据 A  ｜  回测实现度 低</w:t>
      </w:r>
    </w:p>
    <w:p>
      <w:pPr>
        <w:keepNext/>
        <w:keepLines/>
      </w:pPr>
      <w:r>
        <w:rPr>
          <w:b/>
        </w:rPr>
        <w:t xml:space="preserve">主要市场  </w:t>
      </w:r>
      <w:r>
        <w:t>全球宏观，涉及外汇、利率、股票及相关衍生品</w:t>
      </w:r>
    </w:p>
    <w:p>
      <w:pPr>
        <w:keepNext w:val="0"/>
        <w:keepLines/>
      </w:pPr>
      <w:r>
        <w:rPr>
          <w:b/>
        </w:rPr>
        <w:t xml:space="preserve">公开风格  </w:t>
      </w:r>
      <w:r>
        <w:t>反身性与可错性：研究参与者认知和价格、信贷、基本面之间的反馈，并随证据修正判断。</w:t>
      </w:r>
    </w:p>
    <w:p>
      <w:pPr>
        <w:keepNext w:val="0"/>
        <w:keepLines/>
      </w:pPr>
      <w:r>
        <w:rPr>
          <w:b/>
        </w:rPr>
        <w:t xml:space="preserve">回测逻辑  </w:t>
      </w:r>
      <w:r>
        <w:t>平台研究假设：用价格趋势、信贷扩张与融资条件的共振定义正反馈阶段，设置叙事失效的可观测条件；融资收缩且价格趋势破坏时减仓或退出。变量、滞后、状态阈值与风险预算全部由平台定义。历史回测只评价这一宏观反馈代理；自由文本解释型智能体应主要靠上线后实时记录检验。</w:t>
      </w:r>
    </w:p>
    <w:p>
      <w:pPr>
        <w:keepNext w:val="0"/>
        <w:keepLines/>
      </w:pPr>
      <w:r>
        <w:rPr>
          <w:b/>
        </w:rPr>
        <w:t xml:space="preserve">所需数据  </w:t>
      </w:r>
      <w:r>
        <w:t>具有历史版本和发布时间的宏观、信贷与政策数据，外汇与期货逐合约价格、利率曲线、融资及持仓成本；若用新闻，必须保存当时原文与首次可用时间。</w:t>
      </w:r>
    </w:p>
    <w:p>
      <w:pPr>
        <w:keepNext w:val="0"/>
        <w:keepLines/>
      </w:pPr>
      <w:r>
        <w:rPr>
          <w:b/>
        </w:rPr>
        <w:t xml:space="preserve">适用周期  </w:t>
      </w:r>
      <w:r>
        <w:t>日或周评估；持有数日至数月，部分主题更长。</w:t>
      </w:r>
    </w:p>
    <w:p>
      <w:pPr>
        <w:keepNext w:val="0"/>
        <w:keepLines/>
      </w:pPr>
      <w:r>
        <w:rPr>
          <w:b/>
        </w:rPr>
        <w:t xml:space="preserve">能力边界  </w:t>
      </w:r>
      <w:r>
        <w:t>原始哲学可靠，但不是完整机械交易规则。反身性关系的因果识别、政策研判及仓位调整具有强判断性；挑选已知著名危机来证明代理有效会产生严重事后偏差。</w:t>
      </w:r>
    </w:p>
    <w:p>
      <w:pPr>
        <w:keepNext/>
        <w:keepLines/>
      </w:pPr>
      <w:r>
        <w:rPr>
          <w:b/>
        </w:rPr>
        <w:t xml:space="preserve">上线建议  </w:t>
      </w:r>
      <w:r>
        <w:t>第二阶段；首期可作为有来源的宏观研究／观点角色，待状态规则固定后参加独立宏观赛道。</w:t>
      </w:r>
    </w:p>
    <w:p>
      <w:pPr>
        <w:pStyle w:val="SourceText"/>
        <w:keepNext/>
        <w:keepLines/>
      </w:pPr>
      <w:r>
        <w:t xml:space="preserve">11 来源1  </w:t>
      </w:r>
      <w:hyperlink r:id="rId39">
        <w:r>
          <w:rPr>
            <w:color w:val="194D78"/>
            <w:rFonts w:ascii="Arial" w:hAnsi="Arial" w:eastAsia="Songti SC"/>
            <w:sz w:val="18"/>
          </w:rPr>
          <w:t>Transcript: General Theory of Reflexivity（2009年10月26日CEU演讲）</w:t>
        </w:r>
      </w:hyperlink>
      <w:r>
        <w:t xml:space="preserve">  Open Society Foundations保存的本人演讲原文；讨论反身性、反馈和不确定性</w:t>
      </w:r>
    </w:p>
    <w:p>
      <w:pPr>
        <w:pStyle w:val="SourceText"/>
        <w:keepNext w:val="0"/>
        <w:keepLines/>
      </w:pPr>
      <w:r>
        <w:t xml:space="preserve">11 来源2  </w:t>
      </w:r>
      <w:hyperlink r:id="rId40">
        <w:r>
          <w:rPr>
            <w:color w:val="194D78"/>
            <w:rFonts w:ascii="Arial" w:hAnsi="Arial" w:eastAsia="Songti SC"/>
            <w:sz w:val="18"/>
          </w:rPr>
          <w:t>The Alchemy of Finance: Reading the Mind of the Market</w:t>
        </w:r>
      </w:hyperlink>
      <w:r>
        <w:t xml:space="preserve">  本人著作的Wiley出版社正式书页；公开网页可核验书目与主题，不能据此恢复全部交易日记细则</w:t>
      </w:r>
    </w:p>
    <w:p>
      <w:pPr>
        <w:pStyle w:val="Heading2"/>
      </w:pPr>
      <w:r>
        <w:t>12  Jesse Livermore</w:t>
      </w:r>
    </w:p>
    <w:p>
      <w:pPr>
        <w:pStyle w:val="SourceText"/>
        <w:keepNext/>
        <w:keepLines/>
      </w:pPr>
      <w:r>
        <w:t>美国  ｜  证据 B  ｜  回测实现度 中</w:t>
      </w:r>
    </w:p>
    <w:p>
      <w:pPr>
        <w:keepNext/>
        <w:keepLines/>
      </w:pPr>
      <w:r>
        <w:rPr>
          <w:b/>
        </w:rPr>
        <w:t xml:space="preserve">主要市场  </w:t>
      </w:r>
      <w:r>
        <w:t>股票与商品投机；首个代理建议美国股票</w:t>
      </w:r>
    </w:p>
    <w:p>
      <w:pPr>
        <w:keepNext w:val="0"/>
        <w:keepLines/>
      </w:pPr>
      <w:r>
        <w:rPr>
          <w:b/>
        </w:rPr>
        <w:t xml:space="preserve">公开风格  </w:t>
      </w:r>
      <w:r>
        <w:t>研究价格行为、领涨行业、市场时机和资金管理；公开著作讨论其价格记录方法与交易纪律。</w:t>
      </w:r>
    </w:p>
    <w:p>
      <w:pPr>
        <w:keepNext w:val="0"/>
        <w:keepLines/>
      </w:pPr>
      <w:r>
        <w:rPr>
          <w:b/>
        </w:rPr>
        <w:t xml:space="preserve">回测逻辑  </w:t>
      </w:r>
      <w:r>
        <w:t>平台假设版：先用中期市场趋势过滤，再选择行业及个股相对强势者，在预定义区间高点突破时开仓；只在已盈利方向阶梯加仓，跌破预设止损或趋势退出条件时清仓。回看窗口、突破确认、加仓间隔和止损幅度均为平台设定，不能称为利弗莫尔Market Key原公式。</w:t>
      </w:r>
    </w:p>
    <w:p>
      <w:pPr>
        <w:keepNext w:val="0"/>
        <w:keepLines/>
      </w:pPr>
      <w:r>
        <w:rPr>
          <w:b/>
        </w:rPr>
        <w:t xml:space="preserve">所需数据  </w:t>
      </w:r>
      <w:r>
        <w:t>股票及行业日线OHLCV、历史股票池与退市记录、拆股分红、价格限制与卖空可得性；若做盘中突破需更细成交数据和保守撮合顺序。</w:t>
      </w:r>
    </w:p>
    <w:p>
      <w:pPr>
        <w:keepNext w:val="0"/>
        <w:keepLines/>
      </w:pPr>
      <w:r>
        <w:rPr>
          <w:b/>
        </w:rPr>
        <w:t xml:space="preserve">适用周期  </w:t>
      </w:r>
      <w:r>
        <w:t>日线决策；持有数日至数月。</w:t>
      </w:r>
    </w:p>
    <w:p>
      <w:pPr>
        <w:keepNext w:val="0"/>
        <w:keepLines/>
      </w:pPr>
      <w:r>
        <w:rPr>
          <w:b/>
        </w:rPr>
        <w:t xml:space="preserve">能力边界  </w:t>
      </w:r>
      <w:r>
        <w:t>本轮来源足以核验著作与方法主题，尚不足以认定完整原版规则。不能将《股票作手回忆录》的文学化叙事全部当本人逐笔记录，也不能把后人添加的均线与ATR规则归给本人。</w:t>
      </w:r>
    </w:p>
    <w:p>
      <w:pPr>
        <w:keepNext/>
        <w:keepLines/>
      </w:pPr>
      <w:r>
        <w:rPr>
          <w:b/>
        </w:rPr>
        <w:t xml:space="preserve">上线建议  </w:t>
      </w:r>
      <w:r>
        <w:t>人物资料库可首发；比赛代理待原版关键章节与新增规则边界核对后上线，优先用通用“趋势突破”名称。</w:t>
      </w:r>
    </w:p>
    <w:p>
      <w:pPr>
        <w:pStyle w:val="SourceText"/>
        <w:keepNext w:val="0"/>
        <w:keepLines/>
      </w:pPr>
      <w:r>
        <w:t xml:space="preserve">12 来源1  </w:t>
      </w:r>
      <w:hyperlink r:id="rId41">
        <w:r>
          <w:rPr>
            <w:color w:val="194D78"/>
            <w:rFonts w:ascii="Arial" w:hAnsi="Arial" w:eastAsia="Songti SC"/>
            <w:sz w:val="18"/>
          </w:rPr>
          <w:t>How to Trade In Stocks — Jesse Livermore（McGraw Hill版）</w:t>
        </w:r>
      </w:hyperlink>
      <w:r>
        <w:t xml:space="preserve">  本人1940年著作的出版社正式书页与内容简介；本版含Richard Smitten新增注释，尚未取得并逐条核对1940年原版全文</w:t>
      </w:r>
    </w:p>
    <w:p>
      <w:pPr>
        <w:pStyle w:val="Heading2"/>
      </w:pPr>
      <w:r>
        <w:t>13  Richard Dennis</w:t>
      </w:r>
    </w:p>
    <w:p>
      <w:pPr>
        <w:pStyle w:val="SourceText"/>
        <w:keepNext/>
        <w:keepLines/>
      </w:pPr>
      <w:r>
        <w:t>美国  ｜  证据 A  ｜  回测实现度 高</w:t>
      </w:r>
    </w:p>
    <w:p>
      <w:pPr>
        <w:keepNext/>
        <w:keepLines/>
      </w:pPr>
      <w:r>
        <w:rPr>
          <w:b/>
        </w:rPr>
        <w:t xml:space="preserve">主要市场  </w:t>
      </w:r>
      <w:r>
        <w:t>商品与金融期货，跨市场趋势跟踪</w:t>
      </w:r>
    </w:p>
    <w:p>
      <w:pPr>
        <w:keepNext w:val="0"/>
        <w:keepLines/>
      </w:pPr>
      <w:r>
        <w:rPr>
          <w:b/>
        </w:rPr>
        <w:t xml:space="preserve">公开风格  </w:t>
      </w:r>
      <w:r>
        <w:t>系统化趋势跟踪、波动率调整仓位、盈利加仓和组合风险限制；海龟教学体系由Dennis与William Eckhardt共同开发。</w:t>
      </w:r>
    </w:p>
    <w:p>
      <w:pPr>
        <w:keepNext w:val="0"/>
        <w:keepLines/>
      </w:pPr>
      <w:r>
        <w:rPr>
          <w:b/>
        </w:rPr>
        <w:t xml:space="preserve">回测逻辑  </w:t>
      </w:r>
      <w:r>
        <w:t>可先按公开历史System 2实现：盘中突破此前55日高／低一跳开仓，反向20日通道退出；N按原文真波幅平滑定义，基于N调整单位，顺势每0.5N加仓、每市场最多4单位，标准止损2N，并执行原文组合相关性上限。System 1另有20日入场、10日退出及前次突破盈亏过滤，不能与System 2混写。平台若降低风险、改变市场池、改为次日开盘成交，必须另标“改编版”。</w:t>
      </w:r>
    </w:p>
    <w:p>
      <w:pPr>
        <w:keepNext w:val="0"/>
        <w:keepLines/>
      </w:pPr>
      <w:r>
        <w:rPr>
          <w:b/>
        </w:rPr>
        <w:t xml:space="preserve">所需数据  </w:t>
      </w:r>
      <w:r>
        <w:t>期货逐合约OHLCV、最小跳动、合约乘数、交易时间、保证金和换月规则；盘中多信号需分钟／逐笔数据，只有日线时采用保守成交顺序；连续合约可产信号，不能直接当可成交合约。</w:t>
      </w:r>
    </w:p>
    <w:p>
      <w:pPr>
        <w:keepNext w:val="0"/>
        <w:keepLines/>
      </w:pPr>
      <w:r>
        <w:rPr>
          <w:b/>
        </w:rPr>
        <w:t xml:space="preserve">适用周期  </w:t>
      </w:r>
      <w:r>
        <w:t>日线区间与盘中触发；持有数周至数月。</w:t>
      </w:r>
    </w:p>
    <w:p>
      <w:pPr>
        <w:keepNext w:val="0"/>
        <w:keepLines/>
      </w:pPr>
      <w:r>
        <w:rPr>
          <w:b/>
        </w:rPr>
        <w:t xml:space="preserve">能力边界  </w:t>
      </w:r>
      <w:r>
        <w:t>能复现的是亲历者公开的历史教学规则，不是Dennis的全部职业能力或当前私有模型；公开文件也允许参与者采用不同系统资金分配。交易成本、现代市场及风险限制可能显著改变成绩。</w:t>
      </w:r>
    </w:p>
    <w:p>
      <w:pPr>
        <w:keepNext/>
        <w:keepLines/>
      </w:pPr>
      <w:r>
        <w:rPr>
          <w:b/>
        </w:rPr>
        <w:t xml:space="preserve">上线建议  </w:t>
      </w:r>
      <w:r>
        <w:t>建议首发期货赛道，是规则来源最清晰的候选之一；名称应承认Dennis／Eckhardt及公开海龟规则的共同来源。</w:t>
      </w:r>
    </w:p>
    <w:p>
      <w:pPr>
        <w:pStyle w:val="SourceText"/>
        <w:keepNext/>
        <w:keepLines/>
      </w:pPr>
      <w:r>
        <w:t xml:space="preserve">13 来源1  </w:t>
      </w:r>
      <w:hyperlink r:id="rId42">
        <w:r>
          <w:rPr>
            <w:color w:val="194D78"/>
            <w:rFonts w:ascii="Arial" w:hAnsi="Arial" w:eastAsia="Songti SC"/>
            <w:sz w:val="18"/>
          </w:rPr>
          <w:t>The Turtle Traders Featuring Richard Dennis — CME Group（2017）</w:t>
        </w:r>
      </w:hyperlink>
      <w:r>
        <w:t xml:space="preserve">  交易所官网发布的本人及海龟参与者正式访谈；可核验人物、实验与趋势跟踪主题</w:t>
      </w:r>
    </w:p>
    <w:p>
      <w:pPr>
        <w:pStyle w:val="SourceText"/>
        <w:keepNext/>
        <w:keepLines/>
      </w:pPr>
      <w:r>
        <w:t xml:space="preserve">13 来源2  </w:t>
      </w:r>
      <w:hyperlink r:id="rId43">
        <w:r>
          <w:rPr>
            <w:color w:val="194D78"/>
            <w:rFonts w:ascii="Arial" w:hAnsi="Arial" w:eastAsia="Songti SC"/>
            <w:sz w:val="18"/>
          </w:rPr>
          <w:t>The Original Turtle Rules — Trading Blox原始海龟项目档案</w:t>
        </w:r>
      </w:hyperlink>
      <w:r>
        <w:t xml:space="preserve">  原始海龟项目规则公开档案及下载入口；网页列明规则覆盖范围</w:t>
      </w:r>
    </w:p>
    <w:p>
      <w:pPr>
        <w:pStyle w:val="SourceText"/>
        <w:keepNext w:val="0"/>
        <w:keepLines/>
      </w:pPr>
      <w:r>
        <w:t xml:space="preserve">13 来源3  </w:t>
      </w:r>
      <w:hyperlink r:id="rId44">
        <w:r>
          <w:rPr>
            <w:color w:val="194D78"/>
            <w:rFonts w:ascii="Arial" w:hAnsi="Arial" w:eastAsia="Songti SC"/>
            <w:sz w:val="18"/>
          </w:rPr>
          <w:t>The Original Turtle Trading Rules（2003，Curtis Faith署名）</w:t>
        </w:r>
      </w:hyperlink>
      <w:r>
        <w:t xml:space="preserve">  亲历者公开原始规则的第三方存档镜像；已核对署名和正文；不是Dennis本人当前策略披露</w:t>
      </w:r>
    </w:p>
    <w:p>
      <w:pPr>
        <w:pStyle w:val="Heading2"/>
      </w:pPr>
      <w:r>
        <w:t>14  Ed Seykota</w:t>
      </w:r>
    </w:p>
    <w:p>
      <w:pPr>
        <w:pStyle w:val="SourceText"/>
        <w:keepNext/>
        <w:keepLines/>
      </w:pPr>
      <w:r>
        <w:t>美国  ｜  证据 A  ｜  回测实现度 高</w:t>
      </w:r>
    </w:p>
    <w:p>
      <w:pPr>
        <w:keepNext/>
        <w:keepLines/>
      </w:pPr>
      <w:r>
        <w:rPr>
          <w:b/>
        </w:rPr>
        <w:t xml:space="preserve">主要市场  </w:t>
      </w:r>
      <w:r>
        <w:t>期货与系统化趋势研究；官网教学例使用标普连续期货</w:t>
      </w:r>
    </w:p>
    <w:p>
      <w:pPr>
        <w:keepNext w:val="0"/>
        <w:keepLines/>
      </w:pPr>
      <w:r>
        <w:rPr>
          <w:b/>
        </w:rPr>
        <w:t xml:space="preserve">公开风格  </w:t>
      </w:r>
      <w:r>
        <w:t>机械趋势系统、波动率相关仓位管理与纪律；官网公开系统设计、验证与研究项目。</w:t>
      </w:r>
    </w:p>
    <w:p>
      <w:pPr>
        <w:keepNext w:val="0"/>
        <w:keepLines/>
      </w:pPr>
      <w:r>
        <w:rPr>
          <w:b/>
        </w:rPr>
        <w:t xml:space="preserve">回测逻辑  </w:t>
      </w:r>
      <w:r>
        <w:t>先复核官网150／15快慢指数平均交叉教学例：仅做多或空仓，收盘交叉产信号、次日执行，仓位随波动调整。竞赛版改用真实可交易合约、明确手续费与换月成本，并降低和冻结风险预算。官网示例“无佣金、按日内区间计算skid”等设定只用于原教学复核，不能直接冒充现代可成交回测。</w:t>
      </w:r>
    </w:p>
    <w:p>
      <w:pPr>
        <w:keepNext w:val="0"/>
        <w:keepLines/>
      </w:pPr>
      <w:r>
        <w:rPr>
          <w:b/>
        </w:rPr>
        <w:t xml:space="preserve">所需数据  </w:t>
      </w:r>
      <w:r>
        <w:t>真实期货合约日线及换月映射、合约乘数、手续费与成交价差；官网历史CSV和日志可用于结果核对，另需处理期货最小手数、保证金与资金规模约束。</w:t>
      </w:r>
    </w:p>
    <w:p>
      <w:pPr>
        <w:keepNext w:val="0"/>
        <w:keepLines/>
      </w:pPr>
      <w:r>
        <w:rPr>
          <w:b/>
        </w:rPr>
        <w:t xml:space="preserve">适用周期  </w:t>
      </w:r>
      <w:r>
        <w:t>日线；中期至长期持仓。</w:t>
      </w:r>
    </w:p>
    <w:p>
      <w:pPr>
        <w:keepNext w:val="0"/>
        <w:keepLines/>
      </w:pPr>
      <w:r>
        <w:rPr>
          <w:b/>
        </w:rPr>
        <w:t xml:space="preserve">能力边界  </w:t>
      </w:r>
      <w:r>
        <w:t>官网教学例不是本人未公开的完整生产系统；同站部分TSP内容由贡献者署名，不能一概当作本人策略。教育复核与改编竞赛版必须分别报告，不引用例示收益作为未来能力证据。</w:t>
      </w:r>
    </w:p>
    <w:p>
      <w:pPr>
        <w:keepNext/>
        <w:keepLines/>
      </w:pPr>
      <w:r>
        <w:rPr>
          <w:b/>
        </w:rPr>
        <w:t xml:space="preserve">上线建议  </w:t>
      </w:r>
      <w:r>
        <w:t>建议首发系统趋势赛道，与海龟通道突破形成可解释的均线交叉对照。</w:t>
      </w:r>
    </w:p>
    <w:p>
      <w:pPr>
        <w:pStyle w:val="SourceText"/>
        <w:keepNext/>
        <w:keepLines/>
      </w:pPr>
      <w:r>
        <w:t xml:space="preserve">14 来源1  </w:t>
      </w:r>
      <w:hyperlink r:id="rId45">
        <w:r>
          <w:rPr>
            <w:color w:val="194D78"/>
            <w:rFonts w:ascii="Arial" w:hAnsi="Arial" w:eastAsia="Songti SC"/>
            <w:sz w:val="18"/>
          </w:rPr>
          <w:t>Trading Systems Project（TSP）</w:t>
        </w:r>
      </w:hyperlink>
      <w:r>
        <w:t xml:space="preserve">  本人官网系统研究项目；区分教育研究项目与本人资金管理记录</w:t>
      </w:r>
    </w:p>
    <w:p>
      <w:pPr>
        <w:pStyle w:val="SourceText"/>
        <w:keepNext w:val="0"/>
        <w:keepLines/>
      </w:pPr>
      <w:r>
        <w:t xml:space="preserve">14 来源2  </w:t>
      </w:r>
      <w:hyperlink r:id="rId46">
        <w:r>
          <w:rPr>
            <w:color w:val="194D78"/>
            <w:rFonts w:ascii="Arial" w:hAnsi="Arial" w:eastAsia="Songti SC"/>
            <w:sz w:val="18"/>
          </w:rPr>
          <w:t>A Simple Trading System — Exponential Average Crossover</w:t>
        </w:r>
      </w:hyperlink>
      <w:r>
        <w:t xml:space="preserve">  本人官网公开教学规则、参数实例与日志；可核验收盘信号、次日执行、ATR仓位及示例成本假设</w:t>
      </w:r>
    </w:p>
    <w:p>
      <w:pPr>
        <w:pStyle w:val="Heading2"/>
      </w:pPr>
      <w:r>
        <w:t>15  Paul Tudor Jones</w:t>
      </w:r>
    </w:p>
    <w:p>
      <w:pPr>
        <w:pStyle w:val="SourceText"/>
        <w:keepNext/>
        <w:keepLines/>
      </w:pPr>
      <w:r>
        <w:t>美国  ｜  证据 B  ｜  回测实现度 中</w:t>
      </w:r>
    </w:p>
    <w:p>
      <w:pPr>
        <w:keepNext/>
        <w:keepLines/>
      </w:pPr>
      <w:r>
        <w:rPr>
          <w:b/>
        </w:rPr>
        <w:t xml:space="preserve">主要市场  </w:t>
      </w:r>
      <w:r>
        <w:t>全球利率、外汇、股指、商品与相关衍生品</w:t>
      </w:r>
    </w:p>
    <w:p>
      <w:pPr>
        <w:keepNext w:val="0"/>
        <w:keepLines/>
      </w:pPr>
      <w:r>
        <w:rPr>
          <w:b/>
        </w:rPr>
        <w:t xml:space="preserve">公开风格  </w:t>
      </w:r>
      <w:r>
        <w:t>全球宏观与交易时机，强调风险管理、执行和适应市场变化；完整择时与仓位模型未公开。</w:t>
      </w:r>
    </w:p>
    <w:p>
      <w:pPr>
        <w:keepNext w:val="0"/>
        <w:keepLines/>
      </w:pPr>
      <w:r>
        <w:rPr>
          <w:b/>
        </w:rPr>
        <w:t xml:space="preserve">回测逻辑  </w:t>
      </w:r>
      <w:r>
        <w:t>平台假设版：用200日均线作为股指、债券或外汇资产的防守性趋势过滤，价格在上方才允许顺势多头，跌破后退出；按ATR将各资产风险配平，设置统一组合损失上限。200日长度及其他执行细节在本表均作为平台代理参数，不能凭二手语录声称是本人完整策略；宏观事件模块需独立预注册再加入。</w:t>
      </w:r>
    </w:p>
    <w:p>
      <w:pPr>
        <w:keepNext w:val="0"/>
        <w:keepLines/>
      </w:pPr>
      <w:r>
        <w:rPr>
          <w:b/>
        </w:rPr>
        <w:t xml:space="preserve">所需数据  </w:t>
      </w:r>
      <w:r>
        <w:t>多资产逐合约行情、波动率、利差、保证金和融资成本；增加宏观状态时需要原始发布日期及历史版本，不能使用事后修订序列。</w:t>
      </w:r>
    </w:p>
    <w:p>
      <w:pPr>
        <w:keepNext w:val="0"/>
        <w:keepLines/>
      </w:pPr>
      <w:r>
        <w:rPr>
          <w:b/>
        </w:rPr>
        <w:t xml:space="preserve">适用周期  </w:t>
      </w:r>
      <w:r>
        <w:t>日或周评估；持有数日至数月。</w:t>
      </w:r>
    </w:p>
    <w:p>
      <w:pPr>
        <w:keepNext w:val="0"/>
        <w:keepLines/>
      </w:pPr>
      <w:r>
        <w:rPr>
          <w:b/>
        </w:rPr>
        <w:t xml:space="preserve">能力边界  </w:t>
      </w:r>
      <w:r>
        <w:t>已核实官方身份与正式访谈来源，尚不足以把流传的精确数字当完整机械法。趋势防守代理易写出，但其宏观判断、衍生品结构与交易执行优势无法据此恢复。</w:t>
      </w:r>
    </w:p>
    <w:p>
      <w:pPr>
        <w:keepNext/>
        <w:keepLines/>
      </w:pPr>
      <w:r>
        <w:rPr>
          <w:b/>
        </w:rPr>
        <w:t xml:space="preserve">上线建议  </w:t>
      </w:r>
      <w:r>
        <w:t>第二阶段宏观赛道；优先补读本人访谈原文，再决定哪些原则可以进入代理。</w:t>
      </w:r>
    </w:p>
    <w:p>
      <w:pPr>
        <w:pStyle w:val="SourceText"/>
        <w:keepNext/>
        <w:keepLines/>
      </w:pPr>
      <w:r>
        <w:t xml:space="preserve">15 来源1  </w:t>
      </w:r>
      <w:hyperlink r:id="rId47">
        <w:r>
          <w:rPr>
            <w:color w:val="194D78"/>
            <w:rFonts w:ascii="Arial" w:hAnsi="Arial" w:eastAsia="Songti SC"/>
            <w:sz w:val="18"/>
          </w:rPr>
          <w:t>About Us — The Tudor Group</w:t>
        </w:r>
      </w:hyperlink>
      <w:r>
        <w:t xml:space="preserve">  所属投资机构官网；核验创办人及全球多资产业务背景</w:t>
      </w:r>
    </w:p>
    <w:p>
      <w:pPr>
        <w:pStyle w:val="SourceText"/>
        <w:keepNext/>
        <w:keepLines/>
      </w:pPr>
      <w:r>
        <w:t xml:space="preserve">15 来源2  </w:t>
      </w:r>
      <w:hyperlink r:id="rId48">
        <w:r>
          <w:rPr>
            <w:color w:val="194D78"/>
            <w:rFonts w:ascii="Arial" w:hAnsi="Arial" w:eastAsia="Songti SC"/>
            <w:sz w:val="18"/>
          </w:rPr>
          <w:t>You Retire, You Die — Invest Like the Best, Episode 470（2026-04-28）</w:t>
        </w:r>
      </w:hyperlink>
      <w:r>
        <w:t xml:space="preserve">  本人正式播客访谈发布方；页面公开主题与时间戳，完整文字稿需登录，未据未读文字推定精确规则</w:t>
      </w:r>
    </w:p>
    <w:p>
      <w:pPr>
        <w:pStyle w:val="SourceText"/>
        <w:keepNext w:val="0"/>
        <w:keepLines/>
      </w:pPr>
      <w:r>
        <w:t xml:space="preserve">15 来源3  </w:t>
      </w:r>
      <w:hyperlink r:id="rId49">
        <w:r>
          <w:rPr>
            <w:color w:val="194D78"/>
            <w:rFonts w:ascii="Arial" w:hAnsi="Arial" w:eastAsia="Songti SC"/>
            <w:sz w:val="18"/>
          </w:rPr>
          <w:t>MONEY Master the Game — Tony Robbins</w:t>
        </w:r>
      </w:hyperlink>
      <w:r>
        <w:t xml:space="preserve">  正式采访书籍的出版社页面；核验收录本人访谈，但未据公开书目认定全部交易细则</w:t>
      </w:r>
    </w:p>
    <w:p>
      <w:pPr>
        <w:pStyle w:val="Heading2"/>
      </w:pPr>
      <w:r>
        <w:t>16  Larry Williams</w:t>
      </w:r>
    </w:p>
    <w:p>
      <w:pPr>
        <w:pStyle w:val="SourceText"/>
        <w:keepNext/>
        <w:keepLines/>
      </w:pPr>
      <w:r>
        <w:t>美国  ｜  证据 A  ｜  回测实现度 中</w:t>
      </w:r>
    </w:p>
    <w:p>
      <w:pPr>
        <w:keepNext/>
        <w:keepLines/>
      </w:pPr>
      <w:r>
        <w:rPr>
          <w:b/>
        </w:rPr>
        <w:t xml:space="preserve">主要市场  </w:t>
      </w:r>
      <w:r>
        <w:t>商品及金融期货，也公开提供股票研究工具</w:t>
      </w:r>
    </w:p>
    <w:p>
      <w:pPr>
        <w:keepNext w:val="0"/>
        <w:keepLines/>
      </w:pPr>
      <w:r>
        <w:rPr>
          <w:b/>
        </w:rPr>
        <w:t xml:space="preserve">公开风格  </w:t>
      </w:r>
      <w:r>
        <w:t>量化指标、季节性、市场情绪及COT持仓信息；公开指标与收费私有工具并存。</w:t>
      </w:r>
    </w:p>
    <w:p>
      <w:pPr>
        <w:keepNext w:val="0"/>
        <w:keepLines/>
      </w:pPr>
      <w:r>
        <w:rPr>
          <w:b/>
        </w:rPr>
        <w:t xml:space="preserve">回测逻辑  </w:t>
      </w:r>
      <w:r>
        <w:t>平台假设版：采用公开Williams %R的价格位置指标，结合按当时已发布COT商业持仓分位和仅用过去年份计算的季节性过滤，形成明确的极值后反转规则；观察窗口、分位阈值、确认条件、退出与风险均由平台设定。不逆向推定或复制其未公开私有指标，不声称复现其获奖账户。</w:t>
      </w:r>
    </w:p>
    <w:p>
      <w:pPr>
        <w:keepNext w:val="0"/>
        <w:keepLines/>
      </w:pPr>
      <w:r>
        <w:rPr>
          <w:b/>
        </w:rPr>
        <w:t xml:space="preserve">所需数据  </w:t>
      </w:r>
      <w:r>
        <w:t>期货逐合约日线、COT分类及每次实际发布时间、历史持仓量、交易日历、换月和成本；季节性必须滚动估计，不能以全历史均值回填过去。</w:t>
      </w:r>
    </w:p>
    <w:p>
      <w:pPr>
        <w:keepNext w:val="0"/>
        <w:keepLines/>
      </w:pPr>
      <w:r>
        <w:rPr>
          <w:b/>
        </w:rPr>
        <w:t xml:space="preserve">适用周期  </w:t>
      </w:r>
      <w:r>
        <w:t>日线信号，COT按发布频率更新；持有数日至数周。</w:t>
      </w:r>
    </w:p>
    <w:p>
      <w:pPr>
        <w:keepNext w:val="0"/>
        <w:keepLines/>
      </w:pPr>
      <w:r>
        <w:rPr>
          <w:b/>
        </w:rPr>
        <w:t xml:space="preserve">能力边界  </w:t>
      </w:r>
      <w:r>
        <w:t>指标目录与赛事经历可直接核验，但它们不提供一套完整免费生产策略。官网明确提示仅部分软件获授权使用其指标与姓名；公开研究思路不能包装成官方合作或授权产品。</w:t>
      </w:r>
    </w:p>
    <w:p>
      <w:pPr>
        <w:keepNext/>
        <w:keepLines/>
      </w:pPr>
      <w:r>
        <w:rPr>
          <w:b/>
        </w:rPr>
        <w:t xml:space="preserve">上线建议  </w:t>
      </w:r>
      <w:r>
        <w:t>先进入人物研究库；公开指标研究可参加比赛，使用其姓名、形象或收费工具做商业角色应先明确授权安排。</w:t>
      </w:r>
    </w:p>
    <w:p>
      <w:pPr>
        <w:pStyle w:val="SourceText"/>
        <w:keepNext/>
        <w:keepLines/>
      </w:pPr>
      <w:r>
        <w:t xml:space="preserve">16 来源1  </w:t>
      </w:r>
      <w:hyperlink r:id="rId50">
        <w:r>
          <w:rPr>
            <w:color w:val="194D78"/>
            <w:rFonts w:ascii="Arial" w:hAnsi="Arial" w:eastAsia="Songti SC"/>
            <w:sz w:val="18"/>
          </w:rPr>
          <w:t>Larry Williams Home Page — I Really Trade</w:t>
        </w:r>
      </w:hyperlink>
      <w:r>
        <w:t xml:space="preserve">  本人官网；核验交易教育背景、公开工具及姓名／指标授权声明</w:t>
      </w:r>
    </w:p>
    <w:p>
      <w:pPr>
        <w:pStyle w:val="SourceText"/>
        <w:keepNext/>
        <w:keepLines/>
      </w:pPr>
      <w:r>
        <w:t xml:space="preserve">16 来源2  </w:t>
      </w:r>
      <w:hyperlink r:id="rId51">
        <w:r>
          <w:rPr>
            <w:color w:val="194D78"/>
            <w:rFonts w:ascii="Arial" w:hAnsi="Arial" w:eastAsia="Songti SC"/>
            <w:sz w:val="18"/>
          </w:rPr>
          <w:t>Trading Indicators For NinjaTrader — Larry Williams</w:t>
        </w:r>
      </w:hyperlink>
      <w:r>
        <w:t xml:space="preserve">  本人官网工具目录；明确列出Percent R、True Seasonal、COT等，许多工具为私有产品</w:t>
      </w:r>
    </w:p>
    <w:p>
      <w:pPr>
        <w:pStyle w:val="SourceText"/>
        <w:keepNext w:val="0"/>
        <w:keepLines/>
      </w:pPr>
      <w:r>
        <w:t xml:space="preserve">16 来源3  </w:t>
      </w:r>
      <w:hyperlink r:id="rId52">
        <w:r>
          <w:rPr>
            <w:color w:val="194D78"/>
            <w:rFonts w:ascii="Arial" w:hAnsi="Arial" w:eastAsia="Songti SC"/>
            <w:sz w:val="18"/>
          </w:rPr>
          <w:t>World Cup Trading Championship Historical Standings</w:t>
        </w:r>
      </w:hyperlink>
      <w:r>
        <w:t xml:space="preserve">  赛事主办方正式历史榜；仅用于核验比赛经历，不视为完整职业业绩或策略证明</w:t>
      </w:r>
    </w:p>
    <w:p>
      <w:pPr>
        <w:pStyle w:val="Heading2"/>
      </w:pPr>
      <w:r>
        <w:t>17  Mark Minervini</w:t>
      </w:r>
    </w:p>
    <w:p>
      <w:pPr>
        <w:pStyle w:val="SourceText"/>
        <w:keepNext/>
        <w:keepLines/>
      </w:pPr>
      <w:r>
        <w:t>美国  ｜  证据 A  ｜  回测实现度 中</w:t>
      </w:r>
    </w:p>
    <w:p>
      <w:pPr>
        <w:keepNext/>
        <w:keepLines/>
      </w:pPr>
      <w:r>
        <w:rPr>
          <w:b/>
        </w:rPr>
        <w:t xml:space="preserve">主要市场  </w:t>
      </w:r>
      <w:r>
        <w:t>股票；主要为美国成长股与强势股</w:t>
      </w:r>
    </w:p>
    <w:p>
      <w:pPr>
        <w:keepNext w:val="0"/>
        <w:keepLines/>
      </w:pPr>
      <w:r>
        <w:rPr>
          <w:b/>
        </w:rPr>
        <w:t xml:space="preserve">公开风格  </w:t>
      </w:r>
      <w:r>
        <w:t>SEPA成长动量、精细入场与风险管理；趋势、基本面和图表形态结合。</w:t>
      </w:r>
    </w:p>
    <w:p>
      <w:pPr>
        <w:keepNext w:val="0"/>
        <w:keepLines/>
      </w:pPr>
      <w:r>
        <w:rPr>
          <w:b/>
        </w:rPr>
        <w:t xml:space="preserve">回测逻辑  </w:t>
      </w:r>
      <w:r>
        <w:t>平台假设版：要求价格和多条中长期均线呈上升排列、个股相对市场强势，结合盈利增长筛选；将波动收敛形态量化为连续区段振幅与成交量缩减，突破事先确定的枢轴位后开仓，结构失败止损。均线周期、增长门槛、收敛算法、确认与止损皆由平台预注册；未核实的网上“完整八条模板”不直接当本人原文。</w:t>
      </w:r>
    </w:p>
    <w:p>
      <w:pPr>
        <w:keepNext w:val="0"/>
        <w:keepLines/>
      </w:pPr>
      <w:r>
        <w:rPr>
          <w:b/>
        </w:rPr>
        <w:t xml:space="preserve">所需数据  </w:t>
      </w:r>
      <w:r>
        <w:t>股票日线OHLCV、当时已公布的财报、市场基准、历史股票池、分红拆股；若用官方RS评级或专有筛选值，需合法历史授权和当时版本，否则明确改用自算代理。</w:t>
      </w:r>
    </w:p>
    <w:p>
      <w:pPr>
        <w:keepNext w:val="0"/>
        <w:keepLines/>
      </w:pPr>
      <w:r>
        <w:rPr>
          <w:b/>
        </w:rPr>
        <w:t xml:space="preserve">适用周期  </w:t>
      </w:r>
      <w:r>
        <w:t>每日筛选；持有数日至数月。</w:t>
      </w:r>
    </w:p>
    <w:p>
      <w:pPr>
        <w:keepNext w:val="0"/>
        <w:keepLines/>
      </w:pPr>
      <w:r>
        <w:rPr>
          <w:b/>
        </w:rPr>
        <w:t xml:space="preserve">能力边界  </w:t>
      </w:r>
      <w:r>
        <w:t>书目和官方方法清晰，但VCP识别及临场决策有主观部分，平台规则不会完整恢复本人。其官网已有Minervini AI，不应宣称平台研究代理是本人官方AI或获得SEPA品牌授权。</w:t>
      </w:r>
    </w:p>
    <w:p>
      <w:pPr>
        <w:keepNext/>
        <w:keepLines/>
      </w:pPr>
      <w:r>
        <w:rPr>
          <w:b/>
        </w:rPr>
        <w:t xml:space="preserve">上线建议  </w:t>
      </w:r>
      <w:r>
        <w:t>成长突破赛道适合首发，但宜先用通用“成长动量”代理名称；具名角色另处理合作和授权。</w:t>
      </w:r>
    </w:p>
    <w:p>
      <w:pPr>
        <w:pStyle w:val="SourceText"/>
        <w:keepNext/>
        <w:keepLines/>
      </w:pPr>
      <w:r>
        <w:t xml:space="preserve">17 来源1  </w:t>
      </w:r>
      <w:hyperlink r:id="rId53">
        <w:r>
          <w:rPr>
            <w:color w:val="194D78"/>
            <w:rFonts w:ascii="Arial" w:hAnsi="Arial" w:eastAsia="Songti SC"/>
            <w:sz w:val="18"/>
          </w:rPr>
          <w:t>Trade Like a Stock Market Wizard — Mark Minervini</w:t>
        </w:r>
      </w:hyperlink>
      <w:r>
        <w:t xml:space="preserve">  本人著作的McGraw Hill正式书页及目录；可核验SEPA、趋势、基本面与风控主题</w:t>
      </w:r>
    </w:p>
    <w:p>
      <w:pPr>
        <w:pStyle w:val="SourceText"/>
        <w:keepNext w:val="0"/>
        <w:keepLines/>
      </w:pPr>
      <w:r>
        <w:t xml:space="preserve">17 来源2  </w:t>
      </w:r>
      <w:hyperlink r:id="rId54">
        <w:r>
          <w:rPr>
            <w:color w:val="194D78"/>
            <w:rFonts w:ascii="Arial" w:hAnsi="Arial" w:eastAsia="Songti SC"/>
            <w:sz w:val="18"/>
          </w:rPr>
          <w:t>Minervini Markets 360</w:t>
        </w:r>
      </w:hyperlink>
      <w:r>
        <w:t xml:space="preserve">  本人官方业务网站；包含SEPA教育、股票筛选与既有Minervini AI产品介绍</w:t>
      </w:r>
    </w:p>
    <w:p>
      <w:pPr>
        <w:pStyle w:val="Heading2"/>
      </w:pPr>
      <w:r>
        <w:t>18  Linda Raschke</w:t>
      </w:r>
    </w:p>
    <w:p>
      <w:pPr>
        <w:pStyle w:val="SourceText"/>
        <w:keepNext/>
        <w:keepLines/>
      </w:pPr>
      <w:r>
        <w:t>美国  ｜  证据 A  ｜  回测实现度 高</w:t>
      </w:r>
    </w:p>
    <w:p>
      <w:pPr>
        <w:keepNext/>
        <w:keepLines/>
      </w:pPr>
      <w:r>
        <w:rPr>
          <w:b/>
        </w:rPr>
        <w:t xml:space="preserve">主要市场  </w:t>
      </w:r>
      <w:r>
        <w:t>股指、债券及商品期货，也涉及股票和外汇</w:t>
      </w:r>
    </w:p>
    <w:p>
      <w:pPr>
        <w:keepNext w:val="0"/>
        <w:keepLines/>
      </w:pPr>
      <w:r>
        <w:rPr>
          <w:b/>
        </w:rPr>
        <w:t xml:space="preserve">公开风格  </w:t>
      </w:r>
      <w:r>
        <w:t>短线价格行为、统计倾向与形态交易；结合预定义设置与主观执行，不把每个模式等同完整交易系统。</w:t>
      </w:r>
    </w:p>
    <w:p>
      <w:pPr>
        <w:keepNext w:val="0"/>
        <w:keepLines/>
      </w:pPr>
      <w:r>
        <w:rPr>
          <w:b/>
        </w:rPr>
        <w:t xml:space="preserve">回测逻辑  </w:t>
      </w:r>
      <w:r>
        <w:t>已核实设置核心：同一图表周期的14期ADX上穿30后，寻找首次回踩20期EMA，随后向新高发展。平台补全为仅做多版本：回踩后收盘重新站上EMA才发信号、下一根可交易开盘买入，回踩低点止损、前高附近退出，超时取消；这些确认、止损、期限与撮合是平台假设，不能当作访谈给出的完整原规则。</w:t>
      </w:r>
    </w:p>
    <w:p>
      <w:pPr>
        <w:keepNext w:val="0"/>
        <w:keepLines/>
      </w:pPr>
      <w:r>
        <w:rPr>
          <w:b/>
        </w:rPr>
        <w:t xml:space="preserve">所需数据  </w:t>
      </w:r>
      <w:r>
        <w:t>可先用30分钟股指期货数据，另存日线市场背景；需要真实逐合约OHLCV、交易时段、成本和换月；分辨EMA20是20根bar而非一律20个交易日。</w:t>
      </w:r>
    </w:p>
    <w:p>
      <w:pPr>
        <w:keepNext w:val="0"/>
        <w:keepLines/>
      </w:pPr>
      <w:r>
        <w:rPr>
          <w:b/>
        </w:rPr>
        <w:t xml:space="preserve">适用周期  </w:t>
      </w:r>
      <w:r>
        <w:t>盘中至数日；不同图表周期必须分别验证。</w:t>
      </w:r>
    </w:p>
    <w:p>
      <w:pPr>
        <w:keepNext w:val="0"/>
        <w:keepLines/>
      </w:pPr>
      <w:r>
        <w:rPr>
          <w:b/>
        </w:rPr>
        <w:t xml:space="preserve">能力边界  </w:t>
      </w:r>
      <w:r>
        <w:t>本人访谈明确说其测试多为市场统计倾向，实际交易带主观判断。公开设置足以做局部可复现代理，不能把ADX／EMA组合代表她全部策略，也不能引用访谈案例频率作平台未来胜率。</w:t>
      </w:r>
    </w:p>
    <w:p>
      <w:pPr>
        <w:keepNext/>
        <w:keepLines/>
      </w:pPr>
      <w:r>
        <w:rPr>
          <w:b/>
        </w:rPr>
        <w:t xml:space="preserve">上线建议  </w:t>
      </w:r>
      <w:r>
        <w:t>建议首发短线期货赛道，以有原文依据的单一设置开始，可为人物与方法库增加女性交易者代表。</w:t>
      </w:r>
    </w:p>
    <w:p>
      <w:pPr>
        <w:pStyle w:val="SourceText"/>
        <w:keepNext/>
        <w:keepLines/>
      </w:pPr>
      <w:r>
        <w:t xml:space="preserve">18 来源1  </w:t>
      </w:r>
      <w:hyperlink r:id="rId55">
        <w:r>
          <w:rPr>
            <w:color w:val="194D78"/>
            <w:rFonts w:ascii="Arial" w:hAnsi="Arial" w:eastAsia="Songti SC"/>
            <w:sz w:val="18"/>
          </w:rPr>
          <w:t>Active Trader Interview — March 2004, Mark Etzkorn（第二部分）</w:t>
        </w:r>
      </w:hyperlink>
      <w:r>
        <w:t xml:space="preserve">  本人官网保存的正式本人访谈；明确介绍Holy Grail、ADX、EMA及主观交易边界</w:t>
      </w:r>
    </w:p>
    <w:p>
      <w:pPr>
        <w:pStyle w:val="SourceText"/>
        <w:keepNext w:val="0"/>
        <w:keepLines/>
      </w:pPr>
      <w:r>
        <w:t xml:space="preserve">18 来源2  </w:t>
      </w:r>
      <w:hyperlink r:id="rId56">
        <w:r>
          <w:rPr>
            <w:color w:val="194D78"/>
            <w:rFonts w:ascii="Arial" w:hAnsi="Arial" w:eastAsia="Songti SC"/>
            <w:sz w:val="18"/>
          </w:rPr>
          <w:t>Linda Bradford Raschke — Official Website</w:t>
        </w:r>
      </w:hyperlink>
      <w:r>
        <w:t xml:space="preserve">  本人官网；核验交易背景、公开文章与访谈资料入口</w:t>
      </w:r>
    </w:p>
    <w:p>
      <w:pPr>
        <w:pStyle w:val="Heading2"/>
      </w:pPr>
      <w:r>
        <w:t>19  William O’Neil</w:t>
      </w:r>
    </w:p>
    <w:p>
      <w:pPr>
        <w:pStyle w:val="SourceText"/>
        <w:keepNext/>
        <w:keepLines/>
      </w:pPr>
      <w:r>
        <w:t>美国  ｜  证据 A  ｜  回测实现度 中</w:t>
      </w:r>
    </w:p>
    <w:p>
      <w:pPr>
        <w:keepNext/>
        <w:keepLines/>
      </w:pPr>
      <w:r>
        <w:rPr>
          <w:b/>
        </w:rPr>
        <w:t xml:space="preserve">主要市场  </w:t>
      </w:r>
      <w:r>
        <w:t>股票；主要公开体系源于美国市场，相关机构也研究全球股票</w:t>
      </w:r>
    </w:p>
    <w:p>
      <w:pPr>
        <w:keepNext w:val="0"/>
        <w:keepLines/>
      </w:pPr>
      <w:r>
        <w:rPr>
          <w:b/>
        </w:rPr>
        <w:t xml:space="preserve">公开风格  </w:t>
      </w:r>
      <w:r>
        <w:t>CAN SLIM成长股体系，结合当季与年度盈利、新变化、供需、领导性、机构支持及市场方向。</w:t>
      </w:r>
    </w:p>
    <w:p>
      <w:pPr>
        <w:keepNext w:val="0"/>
        <w:keepLines/>
      </w:pPr>
      <w:r>
        <w:rPr>
          <w:b/>
        </w:rPr>
        <w:t xml:space="preserve">回测逻辑  </w:t>
      </w:r>
      <w:r>
        <w:t>平台假设版：以已公布的当季EPS增长、过去三年年度增长、强势价格及成交量作为数值条件，辅以机构持仓和大盘趋势过滤，突破事先定义的整理区才买入；设定固定初始止损和趋势退出。“新产品／新管理”的量化标签、增长门槛、整理形态、持仓数与执行参数均属平台补全，不宣称完全实现原书全部CAN SLIM规则。</w:t>
      </w:r>
    </w:p>
    <w:p>
      <w:pPr>
        <w:keepNext w:val="0"/>
        <w:keepLines/>
      </w:pPr>
      <w:r>
        <w:rPr>
          <w:b/>
        </w:rPr>
        <w:t xml:space="preserve">所需数据  </w:t>
      </w:r>
      <w:r>
        <w:t>按发布时间可得的季报年报、机构持仓披露及滞后、股本与成交量、历史行业与市场指数、公司公告和公司行动；官方评级有专有算法，未经授权不伪装为IBD原评级。</w:t>
      </w:r>
    </w:p>
    <w:p>
      <w:pPr>
        <w:keepNext w:val="0"/>
        <w:keepLines/>
      </w:pPr>
      <w:r>
        <w:rPr>
          <w:b/>
        </w:rPr>
        <w:t xml:space="preserve">适用周期  </w:t>
      </w:r>
      <w:r>
        <w:t>日线筛选与交易；持有数周至数月。</w:t>
      </w:r>
    </w:p>
    <w:p>
      <w:pPr>
        <w:keepNext w:val="0"/>
        <w:keepLines/>
      </w:pPr>
      <w:r>
        <w:rPr>
          <w:b/>
        </w:rPr>
        <w:t xml:space="preserve">能力边界  </w:t>
      </w:r>
      <w:r>
        <w:t>体系有清楚的一手书目与章节，但图形识别、新变化判断和市场方向仍需形式化。专有评级、CAN SLIM标识和官方软件属于已有商业体系；研究代理不能宣称官方授权。</w:t>
      </w:r>
    </w:p>
    <w:p>
      <w:pPr>
        <w:keepNext/>
        <w:keepLines/>
      </w:pPr>
      <w:r>
        <w:rPr>
          <w:b/>
        </w:rPr>
        <w:t xml:space="preserve">上线建议  </w:t>
      </w:r>
      <w:r>
        <w:t>建议首发成长股票赛道，在同类候选中可与Minervini二选一首发，避免首批角色策略过度相似。</w:t>
      </w:r>
    </w:p>
    <w:p>
      <w:pPr>
        <w:pStyle w:val="SourceText"/>
        <w:keepNext/>
        <w:keepLines/>
      </w:pPr>
      <w:r>
        <w:t xml:space="preserve">19 来源1  </w:t>
      </w:r>
      <w:hyperlink r:id="rId57">
        <w:r>
          <w:rPr>
            <w:color w:val="194D78"/>
            <w:rFonts w:ascii="Arial" w:hAnsi="Arial" w:eastAsia="Songti SC"/>
            <w:sz w:val="18"/>
          </w:rPr>
          <w:t>How to Make Money in Stocks: A Winning System in Good Times and Bad, Fourth Edition</w:t>
        </w:r>
      </w:hyperlink>
      <w:r>
        <w:t xml:space="preserve">  本人著作的McGraw Hill正式书页；公开目录逐项列出CAN SLIM构成及买卖章节</w:t>
      </w:r>
    </w:p>
    <w:p>
      <w:pPr>
        <w:pStyle w:val="SourceText"/>
        <w:keepNext w:val="0"/>
        <w:keepLines/>
      </w:pPr>
      <w:r>
        <w:t xml:space="preserve">19 来源2  </w:t>
      </w:r>
      <w:hyperlink r:id="rId58">
        <w:r>
          <w:rPr>
            <w:color w:val="194D78"/>
            <w:rFonts w:ascii="Arial" w:hAnsi="Arial" w:eastAsia="Songti SC"/>
            <w:sz w:val="18"/>
          </w:rPr>
          <w:t>William J. O'Neil — His Vision, His Work and His Legacy</w:t>
        </w:r>
      </w:hyperlink>
      <w:r>
        <w:t xml:space="preserve">  所属机构官方纪念与方法介绍；明确区分方法、专有评级与后续机构产品</w:t>
      </w:r>
    </w:p>
    <w:p>
      <w:pPr>
        <w:pStyle w:val="Heading1"/>
      </w:pPr>
      <w:r>
        <w:t>13  其他地区股票与系统交易人物</w:t>
      </w:r>
    </w:p>
    <w:p>
      <w:pPr>
        <w:pStyle w:val="Heading2"/>
      </w:pPr>
      <w:r>
        <w:t>20  cis</w:t>
      </w:r>
    </w:p>
    <w:p>
      <w:pPr>
        <w:pStyle w:val="SourceText"/>
        <w:keepNext/>
        <w:keepLines/>
      </w:pPr>
      <w:r>
        <w:t>日本  ｜  证据 B  ｜  回测实现度 中</w:t>
      </w:r>
    </w:p>
    <w:p>
      <w:pPr>
        <w:keepNext/>
        <w:keepLines/>
      </w:pPr>
      <w:r>
        <w:rPr>
          <w:b/>
        </w:rPr>
        <w:t xml:space="preserve">主要市场  </w:t>
      </w:r>
      <w:r>
        <w:t>日本股票与股指相关交易</w:t>
      </w:r>
    </w:p>
    <w:p>
      <w:pPr>
        <w:keepNext w:val="0"/>
        <w:keepLines/>
      </w:pPr>
      <w:r>
        <w:rPr>
          <w:b/>
        </w:rPr>
        <w:t xml:space="preserve">公开风格  </w:t>
      </w:r>
      <w:r>
        <w:t>以短线交易、盘面观察和假说检验闻名。出版社确认其为日内交易者，著作讨论逻辑和假说；本次公开材料不足以核验一套完整机械系统。</w:t>
      </w:r>
    </w:p>
    <w:p>
      <w:pPr>
        <w:keepNext w:val="0"/>
        <w:keepLines/>
      </w:pPr>
      <w:r>
        <w:rPr>
          <w:b/>
        </w:rPr>
        <w:t xml:space="preserve">回测逻辑  </w:t>
      </w:r>
      <w:r>
        <w:t>平台代理方案：在历史可交易日股池中，按相对强度、成交量放大和盘中突破形成候选；仅在价格与成交确认时入场，突破失败或动量转弱时退出；限制单日风险和隔夜敞口。窗口、阈值、仓位均由平台预注册，不是 cis 本人参数。</w:t>
      </w:r>
    </w:p>
    <w:p>
      <w:pPr>
        <w:keepNext w:val="0"/>
        <w:keepLines/>
      </w:pPr>
      <w:r>
        <w:rPr>
          <w:b/>
        </w:rPr>
        <w:t xml:space="preserve">所需数据  </w:t>
      </w:r>
      <w:r>
        <w:t>日股历史成分与退市样本、分钟成交及买卖价差；若做订单流则需要历史逐笔及盘口。日线代理不能代表盘中执行。</w:t>
      </w:r>
    </w:p>
    <w:p>
      <w:pPr>
        <w:keepNext w:val="0"/>
        <w:keepLines/>
      </w:pPr>
      <w:r>
        <w:rPr>
          <w:b/>
        </w:rPr>
        <w:t xml:space="preserve">适用周期  </w:t>
      </w:r>
      <w:r>
        <w:t>分钟至数日</w:t>
      </w:r>
    </w:p>
    <w:p>
      <w:pPr>
        <w:keepNext w:val="0"/>
        <w:keepLines/>
      </w:pPr>
      <w:r>
        <w:rPr>
          <w:b/>
        </w:rPr>
        <w:t xml:space="preserve">能力边界  </w:t>
      </w:r>
      <w:r>
        <w:t>目前已核验的是本人书目与公开描述，未逐页审阅全书；出版社财富叙述不能视为独立审计业绩。缺少盘口历史与真实执行经验时只能做风格近似。</w:t>
      </w:r>
    </w:p>
    <w:p>
      <w:pPr>
        <w:keepNext/>
        <w:keepLines/>
      </w:pPr>
      <w:r>
        <w:rPr>
          <w:b/>
        </w:rPr>
        <w:t xml:space="preserve">上线建议  </w:t>
      </w:r>
      <w:r>
        <w:t>第二批研究角色；先采购并审读本人著作，完成规则与章节映射后再参赛。</w:t>
      </w:r>
    </w:p>
    <w:p>
      <w:pPr>
        <w:pStyle w:val="SourceText"/>
        <w:keepNext/>
        <w:keepLines/>
      </w:pPr>
      <w:r>
        <w:t xml:space="preserve">20 来源1  </w:t>
      </w:r>
      <w:hyperlink r:id="rId59">
        <w:r>
          <w:rPr>
            <w:color w:val="194D78"/>
            <w:rFonts w:ascii="Arial" w:hAnsi="Arial" w:eastAsia="Songti SC"/>
            <w:sz w:val="18"/>
          </w:rPr>
          <w:t>一人の力で日経平均を動かせる男の投資哲学</w:t>
        </w:r>
      </w:hyperlink>
      <w:r>
        <w:t xml:space="preserve">  本人著作的出版社官方书目与内容介绍</w:t>
      </w:r>
    </w:p>
    <w:p>
      <w:pPr>
        <w:pStyle w:val="SourceText"/>
        <w:keepNext w:val="0"/>
        <w:keepLines/>
      </w:pPr>
      <w:r>
        <w:t xml:space="preserve">20 来源2  </w:t>
      </w:r>
      <w:hyperlink r:id="rId60">
        <w:r>
          <w:rPr>
            <w:color w:val="194D78"/>
            <w:rFonts w:ascii="Arial" w:hAnsi="Arial" w:eastAsia="Songti SC"/>
            <w:sz w:val="18"/>
          </w:rPr>
          <w:t>230億円稼いだ男の勝つ思考</w:t>
        </w:r>
      </w:hyperlink>
      <w:r>
        <w:t xml:space="preserve">  出版社官方出版说明与目录</w:t>
      </w:r>
    </w:p>
    <w:p>
      <w:pPr>
        <w:pStyle w:val="Heading2"/>
      </w:pPr>
      <w:r>
        <w:t>21  Anthony Bolton</w:t>
      </w:r>
    </w:p>
    <w:p>
      <w:pPr>
        <w:pStyle w:val="SourceText"/>
        <w:keepNext/>
        <w:keepLines/>
      </w:pPr>
      <w:r>
        <w:t>英国  ｜  证据 A  ｜  回测实现度 中</w:t>
      </w:r>
    </w:p>
    <w:p>
      <w:pPr>
        <w:keepNext/>
        <w:keepLines/>
      </w:pPr>
      <w:r>
        <w:rPr>
          <w:b/>
        </w:rPr>
        <w:t xml:space="preserve">主要市场  </w:t>
      </w:r>
      <w:r>
        <w:t>英国及其他股票市场</w:t>
      </w:r>
    </w:p>
    <w:p>
      <w:pPr>
        <w:keepNext w:val="0"/>
        <w:keepLines/>
      </w:pPr>
      <w:r>
        <w:rPr>
          <w:b/>
        </w:rPr>
        <w:t xml:space="preserve">公开风格  </w:t>
      </w:r>
      <w:r>
        <w:t>逆向基本面投资，寻找估值有吸引力且可能改善的困境或转型企业，并重视管理层、财务、投资论点及市场情绪。</w:t>
      </w:r>
    </w:p>
    <w:p>
      <w:pPr>
        <w:keepNext w:val="0"/>
        <w:keepLines/>
      </w:pPr>
      <w:r>
        <w:rPr>
          <w:b/>
        </w:rPr>
        <w:t xml:space="preserve">回测逻辑  </w:t>
      </w:r>
      <w:r>
        <w:t>平台代理方案：从低估值且过去表现落后的股票中，筛选现金流或利润改善、负债可承受并有已公告重组等催化剂的公司；季度复核论点，估值修复、改善失败或财务恶化时退出。不得把低市盈率机械筛选称为其完整方法。</w:t>
      </w:r>
    </w:p>
    <w:p>
      <w:pPr>
        <w:keepNext w:val="0"/>
        <w:keepLines/>
      </w:pPr>
      <w:r>
        <w:rPr>
          <w:b/>
        </w:rPr>
        <w:t xml:space="preserve">所需数据  </w:t>
      </w:r>
      <w:r>
        <w:t>按公布日保存的财报、公告、历史估值、价格与退市样本；文本催化剂必须使用当时发布版本。</w:t>
      </w:r>
    </w:p>
    <w:p>
      <w:pPr>
        <w:keepNext w:val="0"/>
        <w:keepLines/>
      </w:pPr>
      <w:r>
        <w:rPr>
          <w:b/>
        </w:rPr>
        <w:t xml:space="preserve">适用周期  </w:t>
      </w:r>
      <w:r>
        <w:t>季度至数年</w:t>
      </w:r>
    </w:p>
    <w:p>
      <w:pPr>
        <w:keepNext w:val="0"/>
        <w:keepLines/>
      </w:pPr>
      <w:r>
        <w:rPr>
          <w:b/>
        </w:rPr>
        <w:t xml:space="preserve">能力边界  </w:t>
      </w:r>
      <w:r>
        <w:t>管理层会面、治理判断和催化剂质量难以完全编码；公开书目并不提供可直接执行的全部阈值。英国首发可用，跨市场迁移需单独验证。</w:t>
      </w:r>
    </w:p>
    <w:p>
      <w:pPr>
        <w:keepNext/>
        <w:keepLines/>
      </w:pPr>
      <w:r>
        <w:rPr>
          <w:b/>
        </w:rPr>
        <w:t xml:space="preserve">上线建议  </w:t>
      </w:r>
      <w:r>
        <w:t>股票专长赛的候选；适合长期观察，不应被要求频繁交易。</w:t>
      </w:r>
    </w:p>
    <w:p>
      <w:pPr>
        <w:pStyle w:val="SourceText"/>
        <w:keepNext/>
        <w:keepLines/>
      </w:pPr>
      <w:r>
        <w:t xml:space="preserve">21 来源1  </w:t>
      </w:r>
      <w:hyperlink r:id="rId61">
        <w:r>
          <w:rPr>
            <w:color w:val="194D78"/>
            <w:rFonts w:ascii="Arial" w:hAnsi="Arial" w:eastAsia="Songti SC"/>
            <w:sz w:val="18"/>
          </w:rPr>
          <w:t>Investing Against the Tide</w:t>
        </w:r>
      </w:hyperlink>
      <w:r>
        <w:t xml:space="preserve">  本人著作的 Pearson 官方书目</w:t>
      </w:r>
    </w:p>
    <w:p>
      <w:pPr>
        <w:pStyle w:val="SourceText"/>
        <w:keepNext/>
        <w:keepLines/>
      </w:pPr>
      <w:r>
        <w:t xml:space="preserve">21 来源2  </w:t>
      </w:r>
      <w:hyperlink r:id="rId62">
        <w:r>
          <w:rPr>
            <w:color w:val="194D78"/>
            <w:rFonts w:ascii="Arial" w:hAnsi="Arial" w:eastAsia="Songti SC"/>
            <w:sz w:val="18"/>
          </w:rPr>
          <w:t>Anthony Bolton My favourite type of share</w:t>
        </w:r>
      </w:hyperlink>
      <w:r>
        <w:t xml:space="preserve">  正式刊载的本人著作节选</w:t>
      </w:r>
    </w:p>
    <w:p>
      <w:pPr>
        <w:pStyle w:val="SourceText"/>
        <w:keepNext w:val="0"/>
        <w:keepLines/>
      </w:pPr>
      <w:r>
        <w:t xml:space="preserve">21 来源3  </w:t>
      </w:r>
      <w:hyperlink r:id="rId63">
        <w:r>
          <w:rPr>
            <w:color w:val="194D78"/>
            <w:rFonts w:ascii="Arial" w:hAnsi="Arial" w:eastAsia="Songti SC"/>
            <w:sz w:val="18"/>
          </w:rPr>
          <w:t>The Exchange In conversation with Anthony Bolton</w:t>
        </w:r>
      </w:hyperlink>
      <w:r>
        <w:t xml:space="preserve">  CFA UK 本人对谈活动说明</w:t>
      </w:r>
    </w:p>
    <w:p>
      <w:pPr>
        <w:pStyle w:val="Heading2"/>
      </w:pPr>
      <w:r>
        <w:t>22  Vijay Kedia</w:t>
      </w:r>
    </w:p>
    <w:p>
      <w:pPr>
        <w:pStyle w:val="SourceText"/>
        <w:keepNext/>
        <w:keepLines/>
      </w:pPr>
      <w:r>
        <w:t>印度  ｜  证据 A  ｜  回测实现度 中</w:t>
      </w:r>
    </w:p>
    <w:p>
      <w:pPr>
        <w:keepNext/>
        <w:keepLines/>
      </w:pPr>
      <w:r>
        <w:rPr>
          <w:b/>
        </w:rPr>
        <w:t xml:space="preserve">主要市场  </w:t>
      </w:r>
      <w:r>
        <w:t>印度上市股票；其机构亦涉及未上市投资</w:t>
      </w:r>
    </w:p>
    <w:p>
      <w:pPr>
        <w:keepNext w:val="0"/>
        <w:keepLines/>
      </w:pPr>
      <w:r>
        <w:rPr>
          <w:b/>
        </w:rPr>
        <w:t xml:space="preserve">公开风格  </w:t>
      </w:r>
      <w:r>
        <w:t>长期成长投资。Kedia Securities 官网明列 SMILE：规模小、具备一定经验、抱负大、市场潜力特别大，重视管理层与耐心持有。</w:t>
      </w:r>
    </w:p>
    <w:p>
      <w:pPr>
        <w:keepNext w:val="0"/>
        <w:keepLines/>
      </w:pPr>
      <w:r>
        <w:rPr>
          <w:b/>
        </w:rPr>
        <w:t xml:space="preserve">回测逻辑  </w:t>
      </w:r>
      <w:r>
        <w:t>平台代理方案：在印度历史小中盘股票池中，结合营收增长、资本回报、负债、经营现金流和市场空间证据构建成长评分；半年复核，增长与治理论点破坏时退出。SMILE 中的抱负和市场潜力可由带出处的结构化研究判断补充，不能伪装成客观数值。</w:t>
      </w:r>
    </w:p>
    <w:p>
      <w:pPr>
        <w:keepNext w:val="0"/>
        <w:keepLines/>
      </w:pPr>
      <w:r>
        <w:rPr>
          <w:b/>
        </w:rPr>
        <w:t xml:space="preserve">所需数据  </w:t>
      </w:r>
      <w:r>
        <w:t>印度历史股票池、当时可得财报、公司年报与治理公告、行业市场规模资料、成交与流动性数据。</w:t>
      </w:r>
    </w:p>
    <w:p>
      <w:pPr>
        <w:keepNext w:val="0"/>
        <w:keepLines/>
      </w:pPr>
      <w:r>
        <w:rPr>
          <w:b/>
        </w:rPr>
        <w:t xml:space="preserve">适用周期  </w:t>
      </w:r>
      <w:r>
        <w:t>半年至数年</w:t>
      </w:r>
    </w:p>
    <w:p>
      <w:pPr>
        <w:keepNext w:val="0"/>
        <w:keepLines/>
      </w:pPr>
      <w:r>
        <w:rPr>
          <w:b/>
        </w:rPr>
        <w:t xml:space="preserve">能力边界  </w:t>
      </w:r>
      <w:r>
        <w:t>SMILE 是选股思想而非公开完整算法；私营公司投资、与管理层交流和非流动性收益不能纳入普通股票撮合成绩。官网收益故事是自述，未当成独立核验收益。</w:t>
      </w:r>
    </w:p>
    <w:p>
      <w:pPr>
        <w:keepNext/>
        <w:keepLines/>
      </w:pPr>
      <w:r>
        <w:rPr>
          <w:b/>
        </w:rPr>
        <w:t xml:space="preserve">上线建议  </w:t>
      </w:r>
      <w:r>
        <w:t>印度专长赛候选；首发用原创中小盘成长角色实现其部分公开思想。</w:t>
      </w:r>
    </w:p>
    <w:p>
      <w:pPr>
        <w:pStyle w:val="SourceText"/>
        <w:keepNext/>
        <w:keepLines/>
      </w:pPr>
      <w:r>
        <w:t xml:space="preserve">22 来源1  </w:t>
      </w:r>
      <w:hyperlink r:id="rId64">
        <w:r>
          <w:rPr>
            <w:color w:val="194D78"/>
            <w:rFonts w:ascii="Arial" w:hAnsi="Arial" w:eastAsia="Songti SC"/>
            <w:sz w:val="18"/>
          </w:rPr>
          <w:t>Kedia Securities Our Philosophy SMILE</w:t>
        </w:r>
      </w:hyperlink>
      <w:r>
        <w:t xml:space="preserve">  本人投资机构官网与投资哲学</w:t>
      </w:r>
    </w:p>
    <w:p>
      <w:pPr>
        <w:pStyle w:val="SourceText"/>
        <w:keepNext w:val="0"/>
        <w:keepLines/>
      </w:pPr>
      <w:r>
        <w:t xml:space="preserve">22 来源2  </w:t>
      </w:r>
      <w:hyperlink r:id="rId65">
        <w:r>
          <w:rPr>
            <w:color w:val="194D78"/>
            <w:rFonts w:ascii="Arial" w:hAnsi="Arial" w:eastAsia="Songti SC"/>
            <w:sz w:val="18"/>
          </w:rPr>
          <w:t>Vijay Kedia Official Website</w:t>
        </w:r>
      </w:hyperlink>
      <w:r>
        <w:t xml:space="preserve">  本人官网与投资经历说明</w:t>
      </w:r>
    </w:p>
    <w:p>
      <w:pPr>
        <w:pStyle w:val="Heading2"/>
      </w:pPr>
      <w:r>
        <w:t>23  Luis Stuhlberger</w:t>
      </w:r>
    </w:p>
    <w:p>
      <w:pPr>
        <w:pStyle w:val="SourceText"/>
        <w:keepNext/>
        <w:keepLines/>
      </w:pPr>
      <w:r>
        <w:t>巴西  ｜  证据 A  ｜  回测实现度 中</w:t>
      </w:r>
    </w:p>
    <w:p>
      <w:pPr>
        <w:keepNext/>
        <w:keepLines/>
      </w:pPr>
      <w:r>
        <w:rPr>
          <w:b/>
        </w:rPr>
        <w:t xml:space="preserve">主要市场  </w:t>
      </w:r>
      <w:r>
        <w:t>巴西与全球股票、利率、汇率、商品及信用等多资产</w:t>
      </w:r>
    </w:p>
    <w:p>
      <w:pPr>
        <w:keepNext w:val="0"/>
        <w:keepLines/>
      </w:pPr>
      <w:r>
        <w:rPr>
          <w:b/>
        </w:rPr>
        <w:t xml:space="preserve">公开风格  </w:t>
      </w:r>
      <w:r>
        <w:t>基本面宏观与多资产配置。Verde 管理报告展示对利率、汇率、股票及商品的跨市场判断，风险政策强调合并风险因子与持续监测。应区分基金团队观点与个人独自决策。</w:t>
      </w:r>
    </w:p>
    <w:p>
      <w:pPr>
        <w:keepNext w:val="0"/>
        <w:keepLines/>
      </w:pPr>
      <w:r>
        <w:rPr>
          <w:b/>
        </w:rPr>
        <w:t xml:space="preserve">回测逻辑  </w:t>
      </w:r>
      <w:r>
        <w:t>平台代理方案：使用通胀趋势、增长变化、实际利率、贸易条件及估值建立宏观情景；在可交易股票指数、利率、外汇和商品工具之间按预设风险预算配置；月度更新，情景证据反转时减仓。报告只能从其公布后用于信号，不能回填到报告所述持仓发生日。</w:t>
      </w:r>
    </w:p>
    <w:p>
      <w:pPr>
        <w:keepNext w:val="0"/>
        <w:keepLines/>
      </w:pPr>
      <w:r>
        <w:rPr>
          <w:b/>
        </w:rPr>
        <w:t xml:space="preserve">所需数据  </w:t>
      </w:r>
      <w:r>
        <w:t>保留发布版本的宏观数据、利率曲线、汇率、贸易数据、期货合约与换月、交易成本；信用工具若无可靠定价先排除。</w:t>
      </w:r>
    </w:p>
    <w:p>
      <w:pPr>
        <w:keepNext w:val="0"/>
        <w:keepLines/>
      </w:pPr>
      <w:r>
        <w:rPr>
          <w:b/>
        </w:rPr>
        <w:t xml:space="preserve">适用周期  </w:t>
      </w:r>
      <w:r>
        <w:t>数周至数季度</w:t>
      </w:r>
    </w:p>
    <w:p>
      <w:pPr>
        <w:keepNext w:val="0"/>
        <w:keepLines/>
      </w:pPr>
      <w:r>
        <w:rPr>
          <w:b/>
        </w:rPr>
        <w:t xml:space="preserve">能力边界  </w:t>
      </w:r>
      <w:r>
        <w:t>基金月报披露的是事后部分持仓和团队论述，不能重建完整实时组合；基金业绩不等于个人策略复制成绩。官方明确不为外部平台推荐背书，角色必须独立标明研究身份。</w:t>
      </w:r>
    </w:p>
    <w:p>
      <w:pPr>
        <w:keepNext/>
        <w:keepLines/>
      </w:pPr>
      <w:r>
        <w:rPr>
          <w:b/>
        </w:rPr>
        <w:t xml:space="preserve">上线建议  </w:t>
      </w:r>
      <w:r>
        <w:t>第二阶段宏观多资产赛候选；先做公开思想档案，待多资产数据与风险系统就绪。</w:t>
      </w:r>
    </w:p>
    <w:p>
      <w:pPr>
        <w:pStyle w:val="SourceText"/>
        <w:keepNext/>
        <w:keepLines/>
      </w:pPr>
      <w:r>
        <w:t xml:space="preserve">23 来源1  </w:t>
      </w:r>
      <w:hyperlink r:id="rId66">
        <w:r>
          <w:rPr>
            <w:color w:val="194D78"/>
            <w:rFonts w:ascii="Arial" w:hAnsi="Arial" w:eastAsia="Songti SC"/>
            <w:sz w:val="18"/>
          </w:rPr>
          <w:t>Verde FIC FIM Relatório de Gestão Novembro de 2023</w:t>
        </w:r>
      </w:hyperlink>
      <w:r>
        <w:t xml:space="preserve">  机构官方基金管理报告</w:t>
      </w:r>
    </w:p>
    <w:p>
      <w:pPr>
        <w:pStyle w:val="SourceText"/>
        <w:keepNext/>
        <w:keepLines/>
      </w:pPr>
      <w:r>
        <w:t xml:space="preserve">23 来源2  </w:t>
      </w:r>
      <w:hyperlink r:id="rId67">
        <w:r>
          <w:rPr>
            <w:color w:val="194D78"/>
            <w:rFonts w:ascii="Arial" w:hAnsi="Arial" w:eastAsia="Songti SC"/>
            <w:sz w:val="18"/>
          </w:rPr>
          <w:t>Verde AM Política de Gestão de Riscos Outubro de 2024</w:t>
        </w:r>
      </w:hyperlink>
      <w:r>
        <w:t xml:space="preserve">  机构官方风险管理政策</w:t>
      </w:r>
    </w:p>
    <w:p>
      <w:pPr>
        <w:pStyle w:val="SourceText"/>
        <w:keepNext w:val="0"/>
        <w:keepLines/>
      </w:pPr>
      <w:r>
        <w:t xml:space="preserve">23 来源3  </w:t>
      </w:r>
      <w:hyperlink r:id="rId68">
        <w:r>
          <w:rPr>
            <w:color w:val="194D78"/>
            <w:rFonts w:ascii="Arial" w:hAnsi="Arial" w:eastAsia="Songti SC"/>
            <w:sz w:val="18"/>
          </w:rPr>
          <w:t>Verde Asset Management</w:t>
        </w:r>
      </w:hyperlink>
      <w:r>
        <w:t xml:space="preserve">  官方机构与报告入口</w:t>
      </w:r>
    </w:p>
    <w:p>
      <w:pPr>
        <w:pStyle w:val="Heading2"/>
      </w:pPr>
      <w:r>
        <w:t>24  Nick Radge</w:t>
      </w:r>
    </w:p>
    <w:p>
      <w:pPr>
        <w:pStyle w:val="SourceText"/>
        <w:keepNext/>
        <w:keepLines/>
      </w:pPr>
      <w:r>
        <w:t>澳大利亚  ｜  证据 A  ｜  回测实现度 高</w:t>
      </w:r>
    </w:p>
    <w:p>
      <w:pPr>
        <w:keepNext/>
        <w:keepLines/>
      </w:pPr>
      <w:r>
        <w:rPr>
          <w:b/>
        </w:rPr>
        <w:t xml:space="preserve">主要市场  </w:t>
      </w:r>
      <w:r>
        <w:t>澳大利亚与美国股票；具有期货职业经历</w:t>
      </w:r>
    </w:p>
    <w:p>
      <w:pPr>
        <w:keepNext w:val="0"/>
        <w:keepLines/>
      </w:pPr>
      <w:r>
        <w:rPr>
          <w:b/>
        </w:rPr>
        <w:t xml:space="preserve">公开风格  </w:t>
      </w:r>
      <w:r>
        <w:t>系统化交易，公开讨论趋势跟随、相对动量和短期均值回归，可构建行为明确不同的多个策略版本。</w:t>
      </w:r>
    </w:p>
    <w:p>
      <w:pPr>
        <w:keepNext w:val="0"/>
        <w:keepLines/>
      </w:pPr>
      <w:r>
        <w:rPr>
          <w:b/>
        </w:rPr>
        <w:t xml:space="preserve">回测逻辑  </w:t>
      </w:r>
      <w:r>
        <w:t>优先复现其已公开的均值回归教学实验：股价高于100日简单均线，2日RSI低于10；候选按ROC排序取前5；次日以当日低价减过去10日ATR挂限价；成交后等待首次比前一天更高的收盘，再于下一开盘退出。原文未明确ROC回看期，平台必须补充并标注假设；成交、风险上限及缺失细节也需预注册。这是公开教学系统实验，不代表其当前私有账户。</w:t>
      </w:r>
    </w:p>
    <w:p>
      <w:pPr>
        <w:keepNext w:val="0"/>
        <w:keepLines/>
      </w:pPr>
      <w:r>
        <w:rPr>
          <w:b/>
        </w:rPr>
        <w:t xml:space="preserve">所需数据  </w:t>
      </w:r>
      <w:r>
        <w:t>澳股或美股历史成分含退市、日线与公司行动、限价成交验证数据、价差和流动性。仅凭日内最低价触及不足以无条件认定全部成交。</w:t>
      </w:r>
    </w:p>
    <w:p>
      <w:pPr>
        <w:keepNext w:val="0"/>
        <w:keepLines/>
      </w:pPr>
      <w:r>
        <w:rPr>
          <w:b/>
        </w:rPr>
        <w:t xml:space="preserve">适用周期  </w:t>
      </w:r>
      <w:r>
        <w:t>数日至数周；另可建周线趋势版本</w:t>
      </w:r>
    </w:p>
    <w:p>
      <w:pPr>
        <w:keepNext w:val="0"/>
        <w:keepLines/>
      </w:pPr>
      <w:r>
        <w:rPr>
          <w:b/>
        </w:rPr>
        <w:t xml:space="preserve">能力边界  </w:t>
      </w:r>
      <w:r>
        <w:t>官网原文收益属于作者发布的历史实验，不作为本平台收益。需解决ROC周期、订单优先级、同日多信号、分红和限价排队等工程细节；不能据文章证明当前实盘能力。</w:t>
      </w:r>
    </w:p>
    <w:p>
      <w:pPr>
        <w:keepNext/>
        <w:keepLines/>
      </w:pPr>
      <w:r>
        <w:rPr>
          <w:b/>
        </w:rPr>
        <w:t xml:space="preserve">上线建议  </w:t>
      </w:r>
      <w:r>
        <w:t>首发优先；适合作为资料明确、规则可执行的系统化均值回归选手。</w:t>
      </w:r>
    </w:p>
    <w:p>
      <w:pPr>
        <w:pStyle w:val="SourceText"/>
        <w:keepNext/>
        <w:keepLines/>
      </w:pPr>
      <w:r>
        <w:t xml:space="preserve">24 来源1  </w:t>
      </w:r>
      <w:hyperlink r:id="rId69">
        <w:r>
          <w:rPr>
            <w:color w:val="194D78"/>
            <w:rFonts w:ascii="Arial" w:hAnsi="Arial" w:eastAsia="Songti SC"/>
            <w:sz w:val="18"/>
          </w:rPr>
          <w:t>An Effective Mean Reversion System Part 2</w:t>
        </w:r>
      </w:hyperlink>
      <w:r>
        <w:t xml:space="preserve">  本人署名的公开教学规则与回测假设</w:t>
      </w:r>
    </w:p>
    <w:p>
      <w:pPr>
        <w:pStyle w:val="SourceText"/>
        <w:keepNext/>
        <w:keepLines/>
      </w:pPr>
      <w:r>
        <w:t xml:space="preserve">24 来源2  </w:t>
      </w:r>
      <w:hyperlink r:id="rId70">
        <w:r>
          <w:rPr>
            <w:color w:val="194D78"/>
            <w:rFonts w:ascii="Arial" w:hAnsi="Arial" w:eastAsia="Songti SC"/>
            <w:sz w:val="18"/>
          </w:rPr>
          <w:t>Algo Trading Strategies with Nick Radge</w:t>
        </w:r>
      </w:hyperlink>
      <w:r>
        <w:t xml:space="preserve">  本人所在机构刊载的正式访谈文字</w:t>
      </w:r>
    </w:p>
    <w:p>
      <w:pPr>
        <w:pStyle w:val="SourceText"/>
        <w:keepNext w:val="0"/>
        <w:keepLines/>
      </w:pPr>
      <w:r>
        <w:t xml:space="preserve">24 来源3  </w:t>
      </w:r>
      <w:hyperlink r:id="rId71">
        <w:r>
          <w:rPr>
            <w:color w:val="194D78"/>
            <w:rFonts w:ascii="Arial" w:hAnsi="Arial" w:eastAsia="Songti SC"/>
            <w:sz w:val="18"/>
          </w:rPr>
          <w:t>Nick Radge Bio</w:t>
        </w:r>
      </w:hyperlink>
      <w:r>
        <w:t xml:space="preserve">  机构官方个人履历</w:t>
      </w:r>
    </w:p>
    <w:p>
      <w:pPr>
        <w:pStyle w:val="Heading2"/>
      </w:pPr>
      <w:r>
        <w:t>25  Eric Sprott</w:t>
      </w:r>
    </w:p>
    <w:p>
      <w:pPr>
        <w:pStyle w:val="SourceText"/>
        <w:keepNext/>
        <w:keepLines/>
      </w:pPr>
      <w:r>
        <w:t>加拿大  ｜  证据 B  ｜  回测实现度 低</w:t>
      </w:r>
    </w:p>
    <w:p>
      <w:pPr>
        <w:keepNext/>
        <w:keepLines/>
      </w:pPr>
      <w:r>
        <w:rPr>
          <w:b/>
        </w:rPr>
        <w:t xml:space="preserve">主要市场  </w:t>
      </w:r>
      <w:r>
        <w:t>贵金属、矿业与资源股票</w:t>
      </w:r>
    </w:p>
    <w:p>
      <w:pPr>
        <w:keepNext w:val="0"/>
        <w:keepLines/>
      </w:pPr>
      <w:r>
        <w:rPr>
          <w:b/>
        </w:rPr>
        <w:t xml:space="preserve">公开风格  </w:t>
      </w:r>
      <w:r>
        <w:t>贵金属与资源领域的专业集中研究，重视矿床规模、品位、项目潜力，并具有逆向和长期持有色彩。机构同事的访谈描述了其重视资源发现与顺利项目加仓的思路。</w:t>
      </w:r>
    </w:p>
    <w:p>
      <w:pPr>
        <w:keepNext w:val="0"/>
        <w:keepLines/>
      </w:pPr>
      <w:r>
        <w:rPr>
          <w:b/>
        </w:rPr>
        <w:t xml:space="preserve">回测逻辑  </w:t>
      </w:r>
      <w:r>
        <w:t>平台代理方案：在历史贵金属矿业股票池中，按矿产储量与品位、成本、现金、融资稀释、资本支出及金银价格情景评分；季度复核，项目证据改善才分步加仓，融资或项目论点恶化则退出。只在可可靠取得当时披露数据的上市矿企中执行。</w:t>
      </w:r>
    </w:p>
    <w:p>
      <w:pPr>
        <w:keepNext w:val="0"/>
        <w:keepLines/>
      </w:pPr>
      <w:r>
        <w:rPr>
          <w:b/>
        </w:rPr>
        <w:t xml:space="preserve">所需数据  </w:t>
      </w:r>
      <w:r>
        <w:t>历史矿业股票池、当时发布的NI 43-101等技术报告、财报、增发与项目公告、金银价格及流动性。</w:t>
      </w:r>
    </w:p>
    <w:p>
      <w:pPr>
        <w:keepNext w:val="0"/>
        <w:keepLines/>
      </w:pPr>
      <w:r>
        <w:rPr>
          <w:b/>
        </w:rPr>
        <w:t xml:space="preserve">适用周期  </w:t>
      </w:r>
      <w:r>
        <w:t>数季度至数年</w:t>
      </w:r>
    </w:p>
    <w:p>
      <w:pPr>
        <w:keepNext w:val="0"/>
        <w:keepLines/>
      </w:pPr>
      <w:r>
        <w:rPr>
          <w:b/>
        </w:rPr>
        <w:t xml:space="preserve">能力边界  </w:t>
      </w:r>
      <w:r>
        <w:t>机构官方资料可确认研究领域，但同事回忆不是本人完整规则。矿业地质判断、私募融资条款和现场尽调难以机械复制，当前Sprott机构策略不能全部归于创办人。</w:t>
      </w:r>
    </w:p>
    <w:p>
      <w:pPr>
        <w:keepNext/>
        <w:keepLines/>
      </w:pPr>
      <w:r>
        <w:rPr>
          <w:b/>
        </w:rPr>
        <w:t xml:space="preserve">上线建议  </w:t>
      </w:r>
      <w:r>
        <w:t>候补研究角色；优先内容档案，暂不列首发可复现策略。</w:t>
      </w:r>
    </w:p>
    <w:p>
      <w:pPr>
        <w:pStyle w:val="SourceText"/>
        <w:keepNext/>
        <w:keepLines/>
      </w:pPr>
      <w:r>
        <w:t xml:space="preserve">25 来源1  </w:t>
      </w:r>
      <w:hyperlink r:id="rId72">
        <w:r>
          <w:rPr>
            <w:color w:val="194D78"/>
            <w:rFonts w:ascii="Arial" w:hAnsi="Arial" w:eastAsia="Songti SC"/>
            <w:sz w:val="18"/>
          </w:rPr>
          <w:t>Sprott Who We Are</w:t>
        </w:r>
      </w:hyperlink>
      <w:r>
        <w:t xml:space="preserve">  创办机构官方历史与投资领域说明</w:t>
      </w:r>
    </w:p>
    <w:p>
      <w:pPr>
        <w:pStyle w:val="SourceText"/>
        <w:keepNext/>
        <w:keepLines/>
      </w:pPr>
      <w:r>
        <w:t xml:space="preserve">25 来源2  </w:t>
      </w:r>
      <w:hyperlink r:id="rId73">
        <w:r>
          <w:rPr>
            <w:color w:val="194D78"/>
            <w:rFonts w:ascii="Arial" w:hAnsi="Arial" w:eastAsia="Songti SC"/>
            <w:sz w:val="18"/>
          </w:rPr>
          <w:t>Silver Conference Featuring Maria Smirnova Sprott CIO</w:t>
        </w:r>
      </w:hyperlink>
      <w:r>
        <w:t xml:space="preserve">  机构同事的正式访谈与学习回忆</w:t>
      </w:r>
    </w:p>
    <w:p>
      <w:pPr>
        <w:pStyle w:val="SourceText"/>
        <w:keepNext w:val="0"/>
        <w:keepLines/>
      </w:pPr>
      <w:r>
        <w:t xml:space="preserve">25 来源3  </w:t>
      </w:r>
      <w:hyperlink r:id="rId74">
        <w:r>
          <w:rPr>
            <w:color w:val="194D78"/>
            <w:rFonts w:ascii="Arial" w:hAnsi="Arial" w:eastAsia="Songti SC"/>
            <w:sz w:val="18"/>
          </w:rPr>
          <w:t>Sprott Inc Annual Information Form 2011</w:t>
        </w:r>
      </w:hyperlink>
      <w:r>
        <w:t xml:space="preserve">  历史官方公司文件与个人履历</w:t>
      </w:r>
    </w:p>
    <w:p>
      <w:pPr>
        <w:pStyle w:val="Heading2"/>
      </w:pPr>
      <w:r>
        <w:t>26  Andreas Clenow</w:t>
      </w:r>
    </w:p>
    <w:p>
      <w:pPr>
        <w:pStyle w:val="SourceText"/>
        <w:keepNext/>
        <w:keepLines/>
      </w:pPr>
      <w:r>
        <w:t>瑞典籍 瑞士执业  ｜  证据 A  ｜  回测实现度 高</w:t>
      </w:r>
    </w:p>
    <w:p>
      <w:pPr>
        <w:keepNext/>
        <w:keepLines/>
      </w:pPr>
      <w:r>
        <w:rPr>
          <w:b/>
        </w:rPr>
        <w:t xml:space="preserve">主要市场  </w:t>
      </w:r>
      <w:r>
        <w:t>全球跨资产期货与股票</w:t>
      </w:r>
    </w:p>
    <w:p>
      <w:pPr>
        <w:keepNext w:val="0"/>
        <w:keepLines/>
      </w:pPr>
      <w:r>
        <w:rPr>
          <w:b/>
        </w:rPr>
        <w:t xml:space="preserve">公开风格  </w:t>
      </w:r>
      <w:r>
        <w:t>系统化跨资产趋势跟随、股票动量，强调分散、波动率调整仓位和组合层面的风险管理。</w:t>
      </w:r>
    </w:p>
    <w:p>
      <w:pPr>
        <w:keepNext w:val="0"/>
        <w:keepLines/>
      </w:pPr>
      <w:r>
        <w:rPr>
          <w:b/>
        </w:rPr>
        <w:t xml:space="preserve">回测逻辑  </w:t>
      </w:r>
      <w:r>
        <w:t>优先复现官网公开趋势教学系统：50日均线高于100日均线才开多，反之开空；收盘形成50日新高或新低后次日开盘执行；按ATR调整仓位，离峰值逆向移动3ATR并收盘确认后次日退出；跨股票指数、利率、外汇、商品分散。作者答疑补充书中采用EMA；ATR窗口、平滑方式、换月和组合风险预算必须固定并记录。</w:t>
      </w:r>
    </w:p>
    <w:p>
      <w:pPr>
        <w:keepNext w:val="0"/>
        <w:keepLines/>
      </w:pPr>
      <w:r>
        <w:rPr>
          <w:b/>
        </w:rPr>
        <w:t xml:space="preserve">所需数据  </w:t>
      </w:r>
      <w:r>
        <w:t>多个市场的真实期货合约日线、合约乘数、保证金、交割与换月规则、货币转换和成本；不能把回补连续合约价格当作实际成交价。</w:t>
      </w:r>
    </w:p>
    <w:p>
      <w:pPr>
        <w:keepNext w:val="0"/>
        <w:keepLines/>
      </w:pPr>
      <w:r>
        <w:rPr>
          <w:b/>
        </w:rPr>
        <w:t xml:space="preserve">适用周期  </w:t>
      </w:r>
      <w:r>
        <w:t>数周至数月</w:t>
      </w:r>
    </w:p>
    <w:p>
      <w:pPr>
        <w:keepNext w:val="0"/>
        <w:keepLines/>
      </w:pPr>
      <w:r>
        <w:rPr>
          <w:b/>
        </w:rPr>
        <w:t xml:space="preserve">能力边界  </w:t>
      </w:r>
      <w:r>
        <w:t>这是作者用于说明CTA理念的教学模型，作者本人明确其不等于完整推荐系统；单笔ATR调整不等同组合波动率目标控制，平台须另行实现组合层风险。</w:t>
      </w:r>
    </w:p>
    <w:p>
      <w:pPr>
        <w:keepNext/>
        <w:keepLines/>
      </w:pPr>
      <w:r>
        <w:rPr>
          <w:b/>
        </w:rPr>
        <w:t xml:space="preserve">上线建议  </w:t>
      </w:r>
      <w:r>
        <w:t>期货专长赛首发优先；先验证多合约、换月与组合核算。</w:t>
      </w:r>
    </w:p>
    <w:p>
      <w:pPr>
        <w:pStyle w:val="SourceText"/>
        <w:keepNext/>
        <w:keepLines/>
      </w:pPr>
      <w:r>
        <w:t xml:space="preserve">26 来源1  </w:t>
      </w:r>
      <w:hyperlink r:id="rId75">
        <w:r>
          <w:rPr>
            <w:color w:val="194D78"/>
            <w:rFonts w:ascii="Arial" w:hAnsi="Arial" w:eastAsia="Songti SC"/>
            <w:sz w:val="18"/>
          </w:rPr>
          <w:t>Following the Trend About</w:t>
        </w:r>
      </w:hyperlink>
      <w:r>
        <w:t xml:space="preserve">  本人网站与国籍职业经历自述</w:t>
      </w:r>
    </w:p>
    <w:p>
      <w:pPr>
        <w:pStyle w:val="SourceText"/>
        <w:keepNext/>
        <w:keepLines/>
      </w:pPr>
      <w:r>
        <w:t xml:space="preserve">26 来源2  </w:t>
      </w:r>
      <w:hyperlink r:id="rId76">
        <w:r>
          <w:rPr>
            <w:color w:val="194D78"/>
            <w:rFonts w:ascii="Arial" w:hAnsi="Arial" w:eastAsia="Songti SC"/>
            <w:sz w:val="18"/>
          </w:rPr>
          <w:t>Trading System Rules Core Trend Following Rules</w:t>
        </w:r>
      </w:hyperlink>
      <w:r>
        <w:t xml:space="preserve">  本人网站完整公开教学规则与答疑</w:t>
      </w:r>
    </w:p>
    <w:p>
      <w:pPr>
        <w:pStyle w:val="SourceText"/>
        <w:keepNext w:val="0"/>
        <w:keepLines/>
      </w:pPr>
      <w:r>
        <w:t xml:space="preserve">26 来源3  </w:t>
      </w:r>
      <w:hyperlink r:id="rId77">
        <w:r>
          <w:rPr>
            <w:color w:val="194D78"/>
            <w:rFonts w:ascii="Arial" w:hAnsi="Arial" w:eastAsia="Songti SC"/>
            <w:sz w:val="18"/>
          </w:rPr>
          <w:t>Stocks on the Move</w:t>
        </w:r>
      </w:hyperlink>
      <w:r>
        <w:t xml:space="preserve">  本人著作及作者答疑</w:t>
      </w:r>
    </w:p>
    <w:p>
      <w:pPr>
        <w:pStyle w:val="Heading1"/>
      </w:pPr>
      <w:r>
        <w:t>14  加密资产投资与交易人物</w:t>
      </w:r>
    </w:p>
    <w:p>
      <w:pPr>
        <w:pStyle w:val="Heading2"/>
      </w:pPr>
      <w:r>
        <w:t>27  Arthur Hayes</w:t>
      </w:r>
    </w:p>
    <w:p>
      <w:pPr>
        <w:pStyle w:val="SourceText"/>
        <w:keepNext/>
        <w:keepLines/>
      </w:pPr>
      <w:r>
        <w:t>全球加密市场 曾在香港从业  ｜  证据 A  ｜  回测实现度 中</w:t>
      </w:r>
    </w:p>
    <w:p>
      <w:pPr>
        <w:keepNext/>
        <w:keepLines/>
      </w:pPr>
      <w:r>
        <w:rPr>
          <w:b/>
        </w:rPr>
        <w:t xml:space="preserve">主要市场  </w:t>
      </w:r>
      <w:r>
        <w:t>加密资产及与美元流动性相关的宏观观察</w:t>
      </w:r>
    </w:p>
    <w:p>
      <w:pPr>
        <w:keepNext w:val="0"/>
        <w:keepLines/>
      </w:pPr>
      <w:r>
        <w:rPr>
          <w:b/>
        </w:rPr>
        <w:t xml:space="preserve">公开风格  </w:t>
      </w:r>
      <w:r>
        <w:t>以宏观、法币流动性与加密周期为核心的主观配置，具体观察指标会变化。其2026年文章描述依据少量宏观价格在做多与空仓之间切换，并称该文所述做法不做空。</w:t>
      </w:r>
    </w:p>
    <w:p>
      <w:pPr>
        <w:keepNext w:val="0"/>
        <w:keepLines/>
      </w:pPr>
      <w:r>
        <w:rPr>
          <w:b/>
        </w:rPr>
        <w:t xml:space="preserve">回测逻辑  </w:t>
      </w:r>
      <w:r>
        <w:t>平台代理方案：把可事先取得的美元流动性、实际利率、汇率和加密价格趋势合成风险状态；在公开允许的高流动性加密现货篮子与现金间切换，固定周度评估与仓位上限。信号定义与阈值是平台假设。若用本人文章作事件输入，只能从文章实际发布时间后生效，不能使用文中事后叙述回填过去。</w:t>
      </w:r>
    </w:p>
    <w:p>
      <w:pPr>
        <w:keepNext w:val="0"/>
        <w:keepLines/>
      </w:pPr>
      <w:r>
        <w:rPr>
          <w:b/>
        </w:rPr>
        <w:t xml:space="preserve">所需数据  </w:t>
      </w:r>
      <w:r>
        <w:t>带初次发布时间的宏观数据、央行与财政数据历史版本、汇率、现货价格、费用与流动性；研究期以前未知的指标不能倒填。</w:t>
      </w:r>
    </w:p>
    <w:p>
      <w:pPr>
        <w:keepNext w:val="0"/>
        <w:keepLines/>
      </w:pPr>
      <w:r>
        <w:rPr>
          <w:b/>
        </w:rPr>
        <w:t xml:space="preserve">适用周期  </w:t>
      </w:r>
      <w:r>
        <w:t>数周至数季度</w:t>
      </w:r>
    </w:p>
    <w:p>
      <w:pPr>
        <w:keepNext w:val="0"/>
        <w:keepLines/>
      </w:pPr>
      <w:r>
        <w:rPr>
          <w:b/>
        </w:rPr>
        <w:t xml:space="preserve">能力边界  </w:t>
      </w:r>
      <w:r>
        <w:t>长文提供思路与有时间界限的自述，不披露完整交易系统；指标会变，平台须冻结所研究的资料版本。其文中宏观政治判断是作者意见，不是报告认定事实；文章不能证明可核验全账户收益。</w:t>
      </w:r>
    </w:p>
    <w:p>
      <w:pPr>
        <w:keepNext/>
        <w:keepLines/>
      </w:pPr>
      <w:r>
        <w:rPr>
          <w:b/>
        </w:rPr>
        <w:t xml:space="preserve">上线建议  </w:t>
      </w:r>
      <w:r>
        <w:t>加密赛道候选；先以原创宏观流动性角色前向模拟，回测只检验明确的代理规则。</w:t>
      </w:r>
    </w:p>
    <w:p>
      <w:pPr>
        <w:pStyle w:val="SourceText"/>
        <w:keepNext/>
        <w:keepLines/>
      </w:pPr>
      <w:r>
        <w:t xml:space="preserve">27 来源1  </w:t>
      </w:r>
      <w:hyperlink r:id="rId78">
        <w:r>
          <w:rPr>
            <w:color w:val="194D78"/>
            <w:rFonts w:ascii="Arial" w:hAnsi="Arial" w:eastAsia="Songti SC"/>
            <w:sz w:val="18"/>
          </w:rPr>
          <w:t>Crypto Trader Digest Atención</w:t>
        </w:r>
      </w:hyperlink>
      <w:r>
        <w:t xml:space="preserve">  本人署名长文 2026年9月2日</w:t>
      </w:r>
    </w:p>
    <w:p>
      <w:pPr>
        <w:pStyle w:val="SourceText"/>
        <w:keepNext/>
        <w:keepLines/>
      </w:pPr>
      <w:r>
        <w:t xml:space="preserve">27 来源2  </w:t>
      </w:r>
      <w:hyperlink r:id="rId79">
        <w:r>
          <w:rPr>
            <w:color w:val="194D78"/>
            <w:rFonts w:ascii="Arial" w:hAnsi="Arial" w:eastAsia="Songti SC"/>
            <w:sz w:val="18"/>
          </w:rPr>
          <w:t>Crypto Trader Digest The Easy Button</w:t>
        </w:r>
      </w:hyperlink>
      <w:r>
        <w:t xml:space="preserve">  本人署名宏观与流动性长文 2024年5月20日</w:t>
      </w:r>
    </w:p>
    <w:p>
      <w:pPr>
        <w:pStyle w:val="SourceText"/>
        <w:keepNext w:val="0"/>
        <w:keepLines/>
      </w:pPr>
      <w:r>
        <w:t xml:space="preserve">27 来源3  </w:t>
      </w:r>
      <w:hyperlink r:id="rId80">
        <w:r>
          <w:rPr>
            <w:color w:val="194D78"/>
            <w:rFonts w:ascii="Arial" w:hAnsi="Arial" w:eastAsia="Songti SC"/>
            <w:sz w:val="18"/>
          </w:rPr>
          <w:t>Crypto Trader Digest</w:t>
        </w:r>
      </w:hyperlink>
      <w:r>
        <w:t xml:space="preserve">  本人文章库</w:t>
      </w:r>
    </w:p>
    <w:p>
      <w:pPr>
        <w:pStyle w:val="Heading2"/>
      </w:pPr>
      <w:r>
        <w:t>28  Chris Burniske</w:t>
      </w:r>
    </w:p>
    <w:p>
      <w:pPr>
        <w:pStyle w:val="SourceText"/>
        <w:keepNext/>
        <w:keepLines/>
      </w:pPr>
      <w:r>
        <w:t>美国职业经历 全球加密网络投资  ｜  证据 A  ｜  回测实现度 中</w:t>
      </w:r>
    </w:p>
    <w:p>
      <w:pPr>
        <w:keepNext/>
        <w:keepLines/>
      </w:pPr>
      <w:r>
        <w:rPr>
          <w:b/>
        </w:rPr>
        <w:t xml:space="preserve">主要市场  </w:t>
      </w:r>
      <w:r>
        <w:t>加密网络与代币；主要公开职业定位为风险投资与长期研究</w:t>
      </w:r>
    </w:p>
    <w:p>
      <w:pPr>
        <w:keepNext w:val="0"/>
        <w:keepLines/>
      </w:pPr>
      <w:r>
        <w:rPr>
          <w:b/>
        </w:rPr>
        <w:t xml:space="preserve">公开风格  </w:t>
      </w:r>
      <w:r>
        <w:t>加密资产基本面与网络估值，讨论代币供应、经济活动、流通速度、贴现及情景假设；属于长期研究型投资者，不宜包装为日内交易员。</w:t>
      </w:r>
    </w:p>
    <w:p>
      <w:pPr>
        <w:keepNext w:val="0"/>
        <w:keepLines/>
      </w:pPr>
      <w:r>
        <w:rPr>
          <w:b/>
        </w:rPr>
        <w:t xml:space="preserve">回测逻辑  </w:t>
      </w:r>
      <w:r>
        <w:t>平台代理方案：对有可靠历史数据的可交易代币，使用供应与解锁、经济使用量、费用及用户留存等建立多情景估值；针对适用网络可研究MV=PQ框架，明示速度与增长假设；以安全边际和分散约束形成低换手现货组合。框架不是任意链通用定价公式，月度或季度复核。</w:t>
      </w:r>
    </w:p>
    <w:p>
      <w:pPr>
        <w:keepNext w:val="0"/>
        <w:keepLines/>
      </w:pPr>
      <w:r>
        <w:rPr>
          <w:b/>
        </w:rPr>
        <w:t xml:space="preserve">所需数据  </w:t>
      </w:r>
      <w:r>
        <w:t>历史代币供应与解锁、当时可得链上活动、费用、价格和流动性、项目与协议变更公告；需剔除刷量并保留失败代币。</w:t>
      </w:r>
    </w:p>
    <w:p>
      <w:pPr>
        <w:keepNext w:val="0"/>
        <w:keepLines/>
      </w:pPr>
      <w:r>
        <w:rPr>
          <w:b/>
        </w:rPr>
        <w:t xml:space="preserve">适用周期  </w:t>
      </w:r>
      <w:r>
        <w:t>数季度至数年</w:t>
      </w:r>
    </w:p>
    <w:p>
      <w:pPr>
        <w:keepNext w:val="0"/>
        <w:keepLines/>
      </w:pPr>
      <w:r>
        <w:rPr>
          <w:b/>
        </w:rPr>
        <w:t xml:space="preserve">能力边界  </w:t>
      </w:r>
      <w:r>
        <w:t>本人访谈强调模型用于理解长期价值驱动，不用于公布短期价位；速度、市场份额和未来用途高度依赖假设。私募份额与风投条款不纳入现货比赛；不能据其公开文章声称复制本人组合。</w:t>
      </w:r>
    </w:p>
    <w:p>
      <w:pPr>
        <w:keepNext/>
        <w:keepLines/>
      </w:pPr>
      <w:r>
        <w:rPr>
          <w:b/>
        </w:rPr>
        <w:t xml:space="preserve">上线建议  </w:t>
      </w:r>
      <w:r>
        <w:t>加密长期基本面赛候选；短赛可展示决策与估值变化，年度以上再评估策略表现。</w:t>
      </w:r>
    </w:p>
    <w:p>
      <w:pPr>
        <w:pStyle w:val="SourceText"/>
        <w:keepNext/>
        <w:keepLines/>
      </w:pPr>
      <w:r>
        <w:t xml:space="preserve">28 来源1  </w:t>
      </w:r>
      <w:hyperlink r:id="rId81">
        <w:r>
          <w:rPr>
            <w:color w:val="194D78"/>
            <w:rFonts w:ascii="Arial" w:hAnsi="Arial" w:eastAsia="Songti SC"/>
            <w:sz w:val="18"/>
          </w:rPr>
          <w:t>How To Value A Crypto Asset</w:t>
        </w:r>
      </w:hyperlink>
      <w:r>
        <w:t xml:space="preserve">  本人完整正式访谈与文字稿</w:t>
      </w:r>
    </w:p>
    <w:p>
      <w:pPr>
        <w:pStyle w:val="SourceText"/>
        <w:keepNext/>
        <w:keepLines/>
      </w:pPr>
      <w:r>
        <w:t xml:space="preserve">28 来源2  </w:t>
      </w:r>
      <w:hyperlink r:id="rId82">
        <w:r>
          <w:rPr>
            <w:color w:val="194D78"/>
            <w:rFonts w:ascii="Arial" w:hAnsi="Arial" w:eastAsia="Songti SC"/>
            <w:sz w:val="18"/>
          </w:rPr>
          <w:t>Cryptoasset Valuations Past Present and Future</w:t>
        </w:r>
      </w:hyperlink>
      <w:r>
        <w:t xml:space="preserve">  会议主办方本人演讲资料</w:t>
      </w:r>
    </w:p>
    <w:p>
      <w:pPr>
        <w:pStyle w:val="SourceText"/>
        <w:keepNext w:val="0"/>
        <w:keepLines/>
      </w:pPr>
      <w:r>
        <w:t xml:space="preserve">28 来源3  </w:t>
      </w:r>
      <w:hyperlink r:id="rId83">
        <w:r>
          <w:rPr>
            <w:color w:val="194D78"/>
            <w:rFonts w:ascii="Arial" w:hAnsi="Arial" w:eastAsia="Songti SC"/>
            <w:sz w:val="18"/>
          </w:rPr>
          <w:t>Placeholder</w:t>
        </w:r>
      </w:hyperlink>
      <w:r>
        <w:t xml:space="preserve">  本人共同管理机构官网</w:t>
      </w:r>
    </w:p>
    <w:p>
      <w:pPr>
        <w:pStyle w:val="Heading2"/>
      </w:pPr>
      <w:r>
        <w:t>29  Ari Paul</w:t>
      </w:r>
    </w:p>
    <w:p>
      <w:pPr>
        <w:pStyle w:val="SourceText"/>
        <w:keepNext/>
        <w:keepLines/>
      </w:pPr>
      <w:r>
        <w:t>美国职业经历 全球加密交易  ｜  证据 B  ｜  回测实现度 中</w:t>
      </w:r>
    </w:p>
    <w:p>
      <w:pPr>
        <w:keepNext/>
        <w:keepLines/>
      </w:pPr>
      <w:r>
        <w:rPr>
          <w:b/>
        </w:rPr>
        <w:t xml:space="preserve">主要市场  </w:t>
      </w:r>
      <w:r>
        <w:t>加密资产、事件交易与衍生品相关机会</w:t>
      </w:r>
    </w:p>
    <w:p>
      <w:pPr>
        <w:keepNext w:val="0"/>
        <w:keepLines/>
      </w:pPr>
      <w:r>
        <w:rPr>
          <w:b/>
        </w:rPr>
        <w:t xml:space="preserve">公开风格  </w:t>
      </w:r>
      <w:r>
        <w:t>公开访谈描述中短期机会型交易，关注心理、资金流、事件及市场状态切换，强调流动性与执行；并有衍生品和风险管理职业经历。</w:t>
      </w:r>
    </w:p>
    <w:p>
      <w:pPr>
        <w:keepNext w:val="0"/>
        <w:keepLines/>
      </w:pPr>
      <w:r>
        <w:rPr>
          <w:b/>
        </w:rPr>
        <w:t xml:space="preserve">回测逻辑  </w:t>
      </w:r>
      <w:r>
        <w:t>平台代理方案：建立带真实发布时间的上币、协议升级、解锁等事件库，结合流动性、资金流与事件前后价格反应构建有限持有期策略；基差或波动率实验另设独立版本与独立数据要求。任何事件方向、窗口与期权阈值均为平台待验证假设，不能从一则访谈推断其固定交易法。</w:t>
      </w:r>
    </w:p>
    <w:p>
      <w:pPr>
        <w:keepNext w:val="0"/>
        <w:keepLines/>
      </w:pPr>
      <w:r>
        <w:rPr>
          <w:b/>
        </w:rPr>
        <w:t xml:space="preserve">所需数据  </w:t>
      </w:r>
      <w:r>
        <w:t>原始公告时间、历史可交易代币池、逐笔或分钟价格、价差与成交量；若涉衍生品需完整期权链、隐含波动率、保证金和资金费历史。</w:t>
      </w:r>
    </w:p>
    <w:p>
      <w:pPr>
        <w:keepNext w:val="0"/>
        <w:keepLines/>
      </w:pPr>
      <w:r>
        <w:rPr>
          <w:b/>
        </w:rPr>
        <w:t xml:space="preserve">适用周期  </w:t>
      </w:r>
      <w:r>
        <w:t>数日至数周；随事件定义而定</w:t>
      </w:r>
    </w:p>
    <w:p>
      <w:pPr>
        <w:keepNext w:val="0"/>
        <w:keepLines/>
      </w:pPr>
      <w:r>
        <w:rPr>
          <w:b/>
        </w:rPr>
        <w:t xml:space="preserve">能力边界  </w:t>
      </w:r>
      <w:r>
        <w:t>公开资料说明决策框架但未给出完整可复制规则；主观状态判断、信息获取与执行成本可能决定结果，不能简单用基金曾收购市场中性团队的消息推断其个人系统。</w:t>
      </w:r>
    </w:p>
    <w:p>
      <w:pPr>
        <w:keepNext/>
        <w:keepLines/>
      </w:pPr>
      <w:r>
        <w:rPr>
          <w:b/>
        </w:rPr>
        <w:t xml:space="preserve">上线建议  </w:t>
      </w:r>
      <w:r>
        <w:t>第二阶段事件交易候选；首发若缺高质量事件时间库，先不参赛。</w:t>
      </w:r>
    </w:p>
    <w:p>
      <w:pPr>
        <w:pStyle w:val="SourceText"/>
        <w:keepNext/>
        <w:keepLines/>
      </w:pPr>
      <w:r>
        <w:t xml:space="preserve">29 来源1  </w:t>
      </w:r>
      <w:hyperlink r:id="rId84">
        <w:r>
          <w:rPr>
            <w:color w:val="194D78"/>
            <w:rFonts w:ascii="Arial" w:hAnsi="Arial" w:eastAsia="Songti SC"/>
            <w:sz w:val="18"/>
          </w:rPr>
          <w:t>Ari Paul on Why Bitcoin Is a Good Value Buy Today</w:t>
        </w:r>
      </w:hyperlink>
      <w:r>
        <w:t xml:space="preserve">  本人正式访谈与文字稿</w:t>
      </w:r>
    </w:p>
    <w:p>
      <w:pPr>
        <w:pStyle w:val="SourceText"/>
        <w:keepNext/>
        <w:keepLines/>
      </w:pPr>
      <w:r>
        <w:t xml:space="preserve">29 来源2  </w:t>
      </w:r>
      <w:hyperlink r:id="rId85">
        <w:r>
          <w:rPr>
            <w:color w:val="194D78"/>
            <w:rFonts w:ascii="Arial" w:hAnsi="Arial" w:eastAsia="Songti SC"/>
            <w:sz w:val="18"/>
          </w:rPr>
          <w:t>Mike Novogratz and Ari Paul The Future of Crypto SALT Talks 144</w:t>
        </w:r>
      </w:hyperlink>
      <w:r>
        <w:t xml:space="preserve">  会议主办方本人访谈与职业履历</w:t>
      </w:r>
    </w:p>
    <w:p>
      <w:pPr>
        <w:pStyle w:val="SourceText"/>
        <w:keepNext w:val="0"/>
        <w:keepLines/>
      </w:pPr>
      <w:r>
        <w:t xml:space="preserve">29 来源3  </w:t>
      </w:r>
      <w:hyperlink r:id="rId86">
        <w:r>
          <w:rPr>
            <w:color w:val="194D78"/>
            <w:rFonts w:ascii="Arial" w:hAnsi="Arial" w:eastAsia="Songti SC"/>
            <w:sz w:val="18"/>
          </w:rPr>
          <w:t>Ari Paul Discerning the Phases of a Crypto Bull Market</w:t>
        </w:r>
      </w:hyperlink>
      <w:r>
        <w:t xml:space="preserve">  本人正式访谈摘要</w:t>
      </w:r>
    </w:p>
    <w:sectPr w:rsidR="00FC693F" w:rsidRPr="0006063C" w:rsidSect="00034616">
      <w:footerReference w:type="default" r:id="rId87"/>
      <w:pgSz w:w="12240" w:h="15840"/>
      <w:pgMar w:top="936" w:right="1037" w:bottom="936" w:left="1037"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第 </w:t>
    </w:r>
    <w:fldSimple w:instr="PAGE"/>
    <w:r>
      <w:rPr>
        <w:sz w:val="18"/>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00"/>
    </w:pPr>
    <w:rPr>
      <w:rFonts w:ascii="Arial" w:hAnsi="Arial" w:eastAsia="Songti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rPr>
  </w:style>
  <w:style w:type="character" w:customStyle="1" w:styleId="HeaderChar">
    <w:name w:val="Header Char"/>
    <w:basedOn w:val="DefaultParagraphFont"/>
    <w:link w:val="Header"/>
    <w:uiPriority w:val="99"/>
    <w:rsid w:val="00E618BF"/>
    <w:rPr>
      <w:rFonts/>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rPr>
  </w:style>
  <w:style w:type="character" w:customStyle="1" w:styleId="FooterChar">
    <w:name w:val="Footer Char"/>
    <w:basedOn w:val="DefaultParagraphFont"/>
    <w:link w:val="Footer"/>
    <w:uiPriority w:val="99"/>
    <w:rsid w:val="00E618BF"/>
    <w:rPr>
      <w:rFonts/>
    </w:rPr>
  </w:style>
  <w:style w:type="paragraph" w:styleId="Heading1">
    <w:name w:val="heading 1"/>
    <w:basedOn w:val="Normal"/>
    <w:next w:val="Normal"/>
    <w:link w:val="Heading1Char"/>
    <w:uiPriority w:val="9"/>
    <w:qFormat/>
    <w:rsid w:val="00FC693F"/>
    <w:pPr>
      <w:keepNext/>
      <w:keepLines/>
      <w:spacing w:before="260" w:after="140"/>
      <w:outlineLvl w:val="0"/>
    </w:pPr>
    <w:rPr>
      <w:rFonts w:cstheme="majorBidi" w:ascii="Arial" w:hAnsi="Arial" w:eastAsia="Hiragino Sans GB"/>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cstheme="majorBidi" w:ascii="Arial" w:hAnsi="Arial" w:eastAsia="Hiragino Sans GB"/>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40"/>
      <w:outlineLvl w:val="2"/>
    </w:pPr>
    <w:rPr>
      <w:rFonts w:cstheme="majorBidi" w:ascii="Arial" w:hAnsi="Arial" w:eastAsia="Hiragino Sans GB"/>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rPr>
      <w:rFonts/>
    </w:rPr>
  </w:style>
  <w:style w:type="table" w:default="1" w:styleId="TableNormal">
    <w:name w:val="Normal Table"/>
    <w:uiPriority w:val="99"/>
    <w:semiHidden/>
    <w:unhideWhenUsed/>
    <w:rPr>
      <w:rFonts/>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rPr>
  </w:style>
  <w:style w:type="paragraph" w:styleId="NoSpacing">
    <w:name w:val="No Spacing"/>
    <w:uiPriority w:val="1"/>
    <w:qFormat/>
    <w:rsid w:val="00FC693F"/>
    <w:pPr>
      <w:spacing w:after="0" w:line="240" w:lineRule="auto"/>
    </w:pPr>
    <w:rPr>
      <w:rFonts/>
    </w:r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cstheme="majorBidi" w:ascii="Arial" w:hAnsi="Arial" w:eastAsia="Hiragino Sans GB"/>
      <w:b/>
      <w:color w:val="000000"/>
      <w:spacing w:val="5"/>
      <w:kern w:val="28"/>
      <w:sz w:val="48"/>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cstheme="majorBidi" w:ascii="Arial" w:hAnsi="Arial" w:eastAsia="Hiragino Sans GB"/>
      <w:b w:val="0"/>
      <w:i/>
      <w:iCs/>
      <w:color w:val="000000"/>
      <w:spacing w:val="15"/>
      <w:sz w:val="22"/>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rPr>
  </w:style>
  <w:style w:type="paragraph" w:styleId="BodyText">
    <w:name w:val="Body Text"/>
    <w:basedOn w:val="Normal"/>
    <w:link w:val="BodyTextChar"/>
    <w:uiPriority w:val="99"/>
    <w:unhideWhenUsed/>
    <w:rsid w:val="00AA1D8D"/>
    <w:pPr>
      <w:spacing w:after="120"/>
    </w:pPr>
    <w:rPr>
      <w:rFonts/>
    </w:rPr>
  </w:style>
  <w:style w:type="character" w:customStyle="1" w:styleId="BodyTextChar">
    <w:name w:val="Body Text Char"/>
    <w:basedOn w:val="DefaultParagraphFont"/>
    <w:link w:val="BodyText"/>
    <w:uiPriority w:val="99"/>
    <w:rsid w:val="00AA1D8D"/>
    <w:rPr>
      <w:rFonts/>
    </w:rPr>
  </w:style>
  <w:style w:type="paragraph" w:styleId="BodyText2">
    <w:name w:val="Body Text 2"/>
    <w:basedOn w:val="Normal"/>
    <w:link w:val="BodyText2Char"/>
    <w:uiPriority w:val="99"/>
    <w:unhideWhenUsed/>
    <w:rsid w:val="00AA1D8D"/>
    <w:pPr>
      <w:spacing w:after="120" w:line="480" w:lineRule="auto"/>
    </w:pPr>
    <w:rPr>
      <w:rFonts/>
    </w:rPr>
  </w:style>
  <w:style w:type="character" w:customStyle="1" w:styleId="BodyText2Char">
    <w:name w:val="Body Text 2 Char"/>
    <w:basedOn w:val="DefaultParagraphFont"/>
    <w:link w:val="BodyText2"/>
    <w:uiPriority w:val="99"/>
    <w:rsid w:val="00AA1D8D"/>
    <w:rPr>
      <w:rFonts/>
    </w:rPr>
  </w:style>
  <w:style w:type="paragraph" w:styleId="BodyText3">
    <w:name w:val="Body Text 3"/>
    <w:basedOn w:val="Normal"/>
    <w:link w:val="BodyText3Char"/>
    <w:uiPriority w:val="99"/>
    <w:unhideWhenUsed/>
    <w:rsid w:val="00AA1D8D"/>
    <w:pPr>
      <w:spacing w:after="120"/>
    </w:pPr>
    <w:rPr>
      <w:rFonts/>
      <w:sz w:val="16"/>
      <w:szCs w:val="16"/>
    </w:rPr>
  </w:style>
  <w:style w:type="character" w:customStyle="1" w:styleId="BodyText3Char">
    <w:name w:val="Body Text 3 Char"/>
    <w:basedOn w:val="DefaultParagraphFont"/>
    <w:link w:val="BodyText3"/>
    <w:uiPriority w:val="99"/>
    <w:rsid w:val="00AA1D8D"/>
    <w:rPr>
      <w:rFonts/>
      <w:sz w:val="16"/>
      <w:szCs w:val="16"/>
    </w:rPr>
  </w:style>
  <w:style w:type="paragraph" w:styleId="List">
    <w:name w:val="List"/>
    <w:basedOn w:val="Normal"/>
    <w:uiPriority w:val="99"/>
    <w:unhideWhenUsed/>
    <w:rsid w:val="00AA1D8D"/>
    <w:pPr>
      <w:ind w:left="360" w:hanging="360"/>
      <w:contextualSpacing/>
    </w:pPr>
    <w:rPr>
      <w:rFonts/>
    </w:rPr>
  </w:style>
  <w:style w:type="paragraph" w:styleId="List2">
    <w:name w:val="List 2"/>
    <w:basedOn w:val="Normal"/>
    <w:uiPriority w:val="99"/>
    <w:unhideWhenUsed/>
    <w:rsid w:val="00326F90"/>
    <w:pPr>
      <w:ind w:left="720" w:hanging="360"/>
      <w:contextualSpacing/>
    </w:pPr>
    <w:rPr>
      <w:rFonts/>
    </w:rPr>
  </w:style>
  <w:style w:type="paragraph" w:styleId="List3">
    <w:name w:val="List 3"/>
    <w:basedOn w:val="Normal"/>
    <w:uiPriority w:val="99"/>
    <w:unhideWhenUsed/>
    <w:rsid w:val="00326F90"/>
    <w:pPr>
      <w:ind w:left="1080" w:hanging="360"/>
      <w:contextualSpacing/>
    </w:pPr>
    <w:rPr>
      <w:rFonts/>
    </w:rPr>
  </w:style>
  <w:style w:type="paragraph" w:styleId="ListBullet">
    <w:name w:val="List Bullet"/>
    <w:basedOn w:val="Normal"/>
    <w:uiPriority w:val="99"/>
    <w:unhideWhenUsed/>
    <w:rsid w:val="00326F90"/>
    <w:pPr>
      <w:numPr>
        <w:numId w:val="1"/>
      </w:numPr>
      <w:contextualSpacing/>
    </w:pPr>
    <w:rPr>
      <w:rFonts/>
    </w:rPr>
  </w:style>
  <w:style w:type="paragraph" w:styleId="ListBullet2">
    <w:name w:val="List Bullet 2"/>
    <w:basedOn w:val="Normal"/>
    <w:uiPriority w:val="99"/>
    <w:unhideWhenUsed/>
    <w:rsid w:val="00326F90"/>
    <w:pPr>
      <w:numPr>
        <w:numId w:val="2"/>
      </w:numPr>
      <w:contextualSpacing/>
    </w:pPr>
    <w:rPr>
      <w:rFonts/>
    </w:rPr>
  </w:style>
  <w:style w:type="paragraph" w:styleId="ListBullet3">
    <w:name w:val="List Bullet 3"/>
    <w:basedOn w:val="Normal"/>
    <w:uiPriority w:val="99"/>
    <w:unhideWhenUsed/>
    <w:rsid w:val="00326F90"/>
    <w:pPr>
      <w:numPr>
        <w:numId w:val="3"/>
      </w:numPr>
      <w:contextualSpacing/>
    </w:pPr>
    <w:rPr>
      <w:rFonts/>
    </w:rPr>
  </w:style>
  <w:style w:type="paragraph" w:styleId="ListNumber">
    <w:name w:val="List Number"/>
    <w:basedOn w:val="Normal"/>
    <w:uiPriority w:val="99"/>
    <w:unhideWhenUsed/>
    <w:rsid w:val="00326F90"/>
    <w:pPr>
      <w:numPr>
        <w:numId w:val="5"/>
      </w:numPr>
      <w:contextualSpacing/>
    </w:pPr>
    <w:rPr>
      <w:rFonts/>
    </w:rPr>
  </w:style>
  <w:style w:type="paragraph" w:styleId="ListNumber2">
    <w:name w:val="List Number 2"/>
    <w:basedOn w:val="Normal"/>
    <w:uiPriority w:val="99"/>
    <w:unhideWhenUsed/>
    <w:rsid w:val="0029639D"/>
    <w:pPr>
      <w:numPr>
        <w:numId w:val="6"/>
      </w:numPr>
      <w:contextualSpacing/>
    </w:pPr>
    <w:rPr>
      <w:rFonts/>
    </w:rPr>
  </w:style>
  <w:style w:type="paragraph" w:styleId="ListNumber3">
    <w:name w:val="List Number 3"/>
    <w:basedOn w:val="Normal"/>
    <w:uiPriority w:val="99"/>
    <w:unhideWhenUsed/>
    <w:rsid w:val="0029639D"/>
    <w:pPr>
      <w:numPr>
        <w:numId w:val="7"/>
      </w:numPr>
      <w:contextualSpacing/>
    </w:pPr>
    <w:rPr>
      <w:rFonts/>
    </w:rPr>
  </w:style>
  <w:style w:type="paragraph" w:styleId="ListContinue">
    <w:name w:val="List Continue"/>
    <w:basedOn w:val="Normal"/>
    <w:uiPriority w:val="99"/>
    <w:unhideWhenUsed/>
    <w:rsid w:val="0029639D"/>
    <w:pPr>
      <w:spacing w:after="120"/>
      <w:ind w:left="360"/>
      <w:contextualSpacing/>
    </w:pPr>
    <w:rPr>
      <w:rFonts/>
    </w:rPr>
  </w:style>
  <w:style w:type="paragraph" w:styleId="ListContinue2">
    <w:name w:val="List Continue 2"/>
    <w:basedOn w:val="Normal"/>
    <w:uiPriority w:val="99"/>
    <w:unhideWhenUsed/>
    <w:rsid w:val="0029639D"/>
    <w:pPr>
      <w:spacing w:after="120"/>
      <w:ind w:left="720"/>
      <w:contextualSpacing/>
    </w:pPr>
    <w:rPr>
      <w:rFonts/>
    </w:rPr>
  </w:style>
  <w:style w:type="paragraph" w:styleId="ListContinue3">
    <w:name w:val="List Continue 3"/>
    <w:basedOn w:val="Normal"/>
    <w:uiPriority w:val="99"/>
    <w:unhideWhenUsed/>
    <w:rsid w:val="0029639D"/>
    <w:pPr>
      <w:spacing w:after="120"/>
      <w:ind w:left="1080"/>
      <w:contextualSpacing/>
    </w:pPr>
    <w:rPr>
      <w:rFont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i/>
      <w:iCs/>
      <w:color w:val="000000" w:themeColor="text1"/>
    </w:rPr>
  </w:style>
  <w:style w:type="character" w:customStyle="1" w:styleId="QuoteChar">
    <w:name w:val="Quote Char"/>
    <w:basedOn w:val="DefaultParagraphFont"/>
    <w:link w:val="Quote"/>
    <w:uiPriority w:val="29"/>
    <w:rsid w:val="00FC693F"/>
    <w:rPr>
      <w:rFonts/>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b/>
      <w:bCs/>
      <w:color w:val="4F81BD" w:themeColor="accent1"/>
      <w:sz w:val="18"/>
      <w:szCs w:val="18"/>
    </w:rPr>
  </w:style>
  <w:style w:type="character" w:styleId="Strong">
    <w:name w:val="Strong"/>
    <w:basedOn w:val="DefaultParagraphFont"/>
    <w:uiPriority w:val="22"/>
    <w:qFormat/>
    <w:rsid w:val="00FC693F"/>
    <w:rPr>
      <w:rFonts/>
      <w:b/>
      <w:bCs/>
    </w:rPr>
  </w:style>
  <w:style w:type="character" w:styleId="Emphasis">
    <w:name w:val="Emphasis"/>
    <w:basedOn w:val="DefaultParagraphFont"/>
    <w:uiPriority w:val="20"/>
    <w:qFormat/>
    <w:rsid w:val="00FC693F"/>
    <w:rPr>
      <w:rFonts/>
      <w:i/>
      <w:iCs/>
    </w:rPr>
  </w:style>
  <w:style w:type="paragraph" w:styleId="IntenseQuote">
    <w:name w:val="Intense Quote"/>
    <w:basedOn w:val="Normal"/>
    <w:next w:val="Normal"/>
    <w:link w:val="IntenseQuoteChar"/>
    <w:uiPriority w:val="30"/>
    <w:qFormat/>
    <w:rsid w:val="00FC693F"/>
    <w:pPr>
      <w:spacing w:before="200" w:after="280"/>
      <w:ind w:left="936" w:right="936"/>
    </w:pPr>
    <w:rPr>
      <w:rFonts/>
      <w:b/>
      <w:bCs/>
      <w:i/>
      <w:iCs/>
      <w:color w:val="4F81BD" w:themeColor="accent1"/>
    </w:rPr>
  </w:style>
  <w:style w:type="character" w:customStyle="1" w:styleId="IntenseQuoteChar">
    <w:name w:val="Intense Quote Char"/>
    <w:basedOn w:val="DefaultParagraphFont"/>
    <w:link w:val="IntenseQuote"/>
    <w:uiPriority w:val="30"/>
    <w:rsid w:val="00FC693F"/>
    <w:rPr>
      <w:rFonts/>
      <w:b/>
      <w:bCs/>
      <w:i/>
      <w:iCs/>
      <w:color w:val="4F81BD" w:themeColor="accent1"/>
    </w:rPr>
  </w:style>
  <w:style w:type="character" w:styleId="SubtleEmphasis">
    <w:name w:val="Subtle Emphasis"/>
    <w:basedOn w:val="DefaultParagraphFont"/>
    <w:uiPriority w:val="19"/>
    <w:qFormat/>
    <w:rsid w:val="00FC693F"/>
    <w:rPr>
      <w:rFonts/>
      <w:i/>
      <w:iCs/>
      <w:color w:val="808080" w:themeColor="text1" w:themeTint="7F"/>
    </w:rPr>
  </w:style>
  <w:style w:type="character" w:styleId="IntenseEmphasis">
    <w:name w:val="Intense Emphasis"/>
    <w:basedOn w:val="DefaultParagraphFont"/>
    <w:uiPriority w:val="21"/>
    <w:qFormat/>
    <w:rsid w:val="00FC693F"/>
    <w:rPr>
      <w:rFonts/>
      <w:b/>
      <w:bCs/>
      <w:i/>
      <w:iCs/>
      <w:color w:val="4F81BD" w:themeColor="accent1"/>
    </w:rPr>
  </w:style>
  <w:style w:type="character" w:styleId="SubtleReference">
    <w:name w:val="Subtle Reference"/>
    <w:basedOn w:val="DefaultParagraphFont"/>
    <w:uiPriority w:val="31"/>
    <w:qFormat/>
    <w:rsid w:val="00FC693F"/>
    <w:rPr>
      <w:rFonts/>
      <w:smallCaps/>
      <w:color w:val="C0504D" w:themeColor="accent2"/>
      <w:u w:val="single"/>
    </w:rPr>
  </w:style>
  <w:style w:type="character" w:styleId="IntenseReference">
    <w:name w:val="Intense Reference"/>
    <w:basedOn w:val="DefaultParagraphFont"/>
    <w:uiPriority w:val="32"/>
    <w:qFormat/>
    <w:rsid w:val="00FC693F"/>
    <w:rPr>
      <w:rFonts/>
      <w:b/>
      <w:bCs/>
      <w:smallCaps/>
      <w:color w:val="C0504D" w:themeColor="accent2"/>
      <w:spacing w:val="5"/>
      <w:u w:val="single"/>
    </w:rPr>
  </w:style>
  <w:style w:type="character" w:styleId="BookTitle">
    <w:name w:val="Book Title"/>
    <w:basedOn w:val="DefaultParagraphFont"/>
    <w:uiPriority w:val="33"/>
    <w:qFormat/>
    <w:rsid w:val="00FC693F"/>
    <w:rPr>
      <w:rFonts/>
      <w:b/>
      <w:bCs/>
      <w:smallCaps/>
      <w:spacing w:val="5"/>
    </w:rPr>
  </w:style>
  <w:style w:type="paragraph" w:styleId="TOCHeading">
    <w:name w:val="TOC Heading"/>
    <w:basedOn w:val="Heading1"/>
    <w:next w:val="Normal"/>
    <w:uiPriority w:val="39"/>
    <w:semiHidden/>
    <w:unhideWhenUsed/>
    <w:qFormat/>
    <w:rsid w:val="00FC693F"/>
    <w:pPr>
      <w:outlineLvl w:val="9"/>
    </w:pPr>
    <w:rPr>
      <w:rFonts/>
    </w:rPr>
  </w:style>
  <w:style w:type="table" w:styleId="TableGrid">
    <w:name w:val="Table Grid"/>
    <w:basedOn w:val="TableNormal"/>
    <w:uiPriority w:val="59"/>
    <w:rsid w:val="00FC693F"/>
    <w:pPr>
      <w:spacing w:after="0" w:line="240" w:lineRule="auto"/>
    </w:pPr>
    <w:rPr>
      <w:rFont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Text">
    <w:name w:val="Source Text"/>
    <w:pPr>
      <w:spacing w:line="252" w:lineRule="auto" w:after="60"/>
    </w:pPr>
    <w:rPr>
      <w:rFonts w:ascii="Arial" w:hAnsi="Arial" w:eastAsia="Songti SC"/>
      <w:b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sse.com.cn/lawandrules/sselawsrules2025/trade/universal/c/c_20260424_10816492.shtml" TargetMode="External"/><Relationship Id="rId10" Type="http://schemas.openxmlformats.org/officeDocument/2006/relationships/hyperlink" Target="https://www.cmegroup.com/market-data/cme-group-continuous-price-series.html" TargetMode="External"/><Relationship Id="rId11" Type="http://schemas.openxmlformats.org/officeDocument/2006/relationships/hyperlink" Target="https://hyperliquid.gitbook.io/hyperliquid-docs/trading/funding" TargetMode="External"/><Relationship Id="rId12" Type="http://schemas.openxmlformats.org/officeDocument/2006/relationships/hyperlink" Target="https://hyperliquid.gitbook.io/hyperliquid-docs/trading/liquidations" TargetMode="External"/><Relationship Id="rId13" Type="http://schemas.openxmlformats.org/officeDocument/2006/relationships/hyperlink" Target="https://arxiv.org/abs/2309.17322" TargetMode="External"/><Relationship Id="rId14" Type="http://schemas.openxmlformats.org/officeDocument/2006/relationships/hyperlink" Target="https://www.davidhbailey.com/dhbpapers/deflated-sharpe.pdf" TargetMode="External"/><Relationship Id="rId15" Type="http://schemas.openxmlformats.org/officeDocument/2006/relationships/hyperlink" Target="https://www.londonstockexchange.com/en/markets-products/market-data/market-data-licensing" TargetMode="External"/><Relationship Id="rId16" Type="http://schemas.openxmlformats.org/officeDocument/2006/relationships/hyperlink" Target="https://www.csrc.gov.cn/csrc/c100028/c7614318/content.shtml" TargetMode="External"/><Relationship Id="rId17" Type="http://schemas.openxmlformats.org/officeDocument/2006/relationships/hyperlink" Target="https://fjca.miit.gov.cn/zwgk/zcwj/wjfb/art/2020/art_9f0ef44677164c5eb3a5585bf82a07cb.html" TargetMode="External"/><Relationship Id="rId18" Type="http://schemas.openxmlformats.org/officeDocument/2006/relationships/hyperlink" Target="https://www.sec.gov/resources-small-businesses/small-business-compliance-guides/investment-adviser-marketing" TargetMode="External"/><Relationship Id="rId19" Type="http://schemas.openxmlformats.org/officeDocument/2006/relationships/hyperlink" Target="https://stcn.com/article/detail/3521038.html" TargetMode="External"/><Relationship Id="rId20" Type="http://schemas.openxmlformats.org/officeDocument/2006/relationships/hyperlink" Target="https://www.court.gov.cn/zixun/xiangqing/258751.html" TargetMode="External"/><Relationship Id="rId21" Type="http://schemas.openxmlformats.org/officeDocument/2006/relationships/hyperlink" Target="https://www.sse.com.cn/aboutus/publication/actofcourt/law/list/c/10643464/files/d938b8e79b844c0690bbe0b4bf46821c.pdf" TargetMode="External"/><Relationship Id="rId22" Type="http://schemas.openxmlformats.org/officeDocument/2006/relationships/hyperlink" Target="https://www.linyuan-invest.com/website/w/h?c=50075161&amp;cc=46943794&amp;code=NDY5NDM3OTQ%3D&amp;configCode=NDkwNDA4NDU%3D&amp;fp=d&amp;mc=50073663&amp;mt=2" TargetMode="External"/><Relationship Id="rId23" Type="http://schemas.openxmlformats.org/officeDocument/2006/relationships/hyperlink" Target="https://www.linyuan-invest.com/website/w/h?c=72382861&amp;cc=46943794&amp;code=NDY5NDM3OTQ%3D&amp;configCode=NDkwNDA4NDU%3D&amp;fp=d&amp;mc=50073663&amp;mt=2" TargetMode="External"/><Relationship Id="rId24" Type="http://schemas.openxmlformats.org/officeDocument/2006/relationships/hyperlink" Target="https://www.chaoschina.com/" TargetMode="External"/><Relationship Id="rId25" Type="http://schemas.openxmlformats.org/officeDocument/2006/relationships/hyperlink" Target="https://static.cninfo.com.cn/finalpage/2025-11-27/1224829399.PDF" TargetMode="External"/><Relationship Id="rId26" Type="http://schemas.openxmlformats.org/officeDocument/2006/relationships/hyperlink" Target="https://finance.sina.com.cn/money/future/futuresroll/20141018/174220577233.shtml" TargetMode="External"/><Relationship Id="rId27" Type="http://schemas.openxmlformats.org/officeDocument/2006/relationships/hyperlink" Target="https://www.7hcn.com/article/104899-2.html" TargetMode="External"/><Relationship Id="rId28" Type="http://schemas.openxmlformats.org/officeDocument/2006/relationships/hyperlink" Target="https://www.7hcn.com/article/104899-1.html" TargetMode="External"/><Relationship Id="rId29" Type="http://schemas.openxmlformats.org/officeDocument/2006/relationships/hyperlink" Target="https://www.himcap.com/cn/home" TargetMode="External"/><Relationship Id="rId30" Type="http://schemas.openxmlformats.org/officeDocument/2006/relationships/hyperlink" Target="https://www.himcap.com/" TargetMode="External"/><Relationship Id="rId31" Type="http://schemas.openxmlformats.org/officeDocument/2006/relationships/hyperlink" Target="https://www.berkshirehathaway.com/2001ar/ownersmanual.html" TargetMode="External"/><Relationship Id="rId32" Type="http://schemas.openxmlformats.org/officeDocument/2006/relationships/hyperlink" Target="https://www.berkshirehathaway.com/letters/1986.html" TargetMode="External"/><Relationship Id="rId33" Type="http://schemas.openxmlformats.org/officeDocument/2006/relationships/hyperlink" Target="https://www.berkshirehathaway.com/letters/1992.html" TargetMode="External"/><Relationship Id="rId34" Type="http://schemas.openxmlformats.org/officeDocument/2006/relationships/hyperlink" Target="https://www.simonandschuster.com/books/One-Up-On-Wall-Street/Peter-Lynch/9780743200400" TargetMode="External"/><Relationship Id="rId35" Type="http://schemas.openxmlformats.org/officeDocument/2006/relationships/hyperlink" Target="https://www.fidelity.com/bin-public/060_www_fidelity_com/documents/learning-center/Presentation_Investing%20legends.pdf" TargetMode="External"/><Relationship Id="rId36" Type="http://schemas.openxmlformats.org/officeDocument/2006/relationships/hyperlink" Target="https://rpc.cfainstitute.org/sites/default/files/-/media/documents/book/rf-publication/1977/rf-v1977-n1-4731-pdf.pdf" TargetMode="External"/><Relationship Id="rId37" Type="http://schemas.openxmlformats.org/officeDocument/2006/relationships/hyperlink" Target="https://www.harpercollins.com/products/the-intelligent-investor-benjamin-graham" TargetMode="External"/><Relationship Id="rId38" Type="http://schemas.openxmlformats.org/officeDocument/2006/relationships/hyperlink" Target="https://www.mheducation.com/highered/mhp/product/security-analysis-seventh-edition.html?viewOption=student" TargetMode="External"/><Relationship Id="rId39" Type="http://schemas.openxmlformats.org/officeDocument/2006/relationships/hyperlink" Target="https://www.opensocietyfoundations.org/uploads/9ae17912-2262-4646-8ffc-d01afc934c36/george-soros-general-theory-of-reflexivity-transcript.pdf" TargetMode="External"/><Relationship Id="rId40" Type="http://schemas.openxmlformats.org/officeDocument/2006/relationships/hyperlink" Target="https://www.wiley.com/en-us/shop/general-finance-investments/the-alchemy-of-finance-reading-the-mind-of-the-market-p-9780471043133" TargetMode="External"/><Relationship Id="rId41" Type="http://schemas.openxmlformats.org/officeDocument/2006/relationships/hyperlink" Target="https://www.mheducation.com/highered/mhp/product/how-trade-stocks.html" TargetMode="External"/><Relationship Id="rId42" Type="http://schemas.openxmlformats.org/officeDocument/2006/relationships/hyperlink" Target="https://www.cmegroup.com/education/the-turtle-traders-featuring-richard-dennis" TargetMode="External"/><Relationship Id="rId43" Type="http://schemas.openxmlformats.org/officeDocument/2006/relationships/hyperlink" Target="https://www.tradingblox.com/originalturtles/originalturtlerules.htm" TargetMode="External"/><Relationship Id="rId44" Type="http://schemas.openxmlformats.org/officeDocument/2006/relationships/hyperlink" Target="https://therobusttrader.com/wp-content/uploads/OriginalTurtle-Trading-Rules.pdf" TargetMode="External"/><Relationship Id="rId45" Type="http://schemas.openxmlformats.org/officeDocument/2006/relationships/hyperlink" Target="https://www.seykota.com/tribe/TSP/index.htm" TargetMode="External"/><Relationship Id="rId46" Type="http://schemas.openxmlformats.org/officeDocument/2006/relationships/hyperlink" Target="https://www.seykota.com/tribe/TSP/EA/index.htm" TargetMode="External"/><Relationship Id="rId47" Type="http://schemas.openxmlformats.org/officeDocument/2006/relationships/hyperlink" Target="https://www.tudor.com/about/" TargetMode="External"/><Relationship Id="rId48" Type="http://schemas.openxmlformats.org/officeDocument/2006/relationships/hyperlink" Target="https://colossus.com/episode/you-retire-you-die/" TargetMode="External"/><Relationship Id="rId49" Type="http://schemas.openxmlformats.org/officeDocument/2006/relationships/hyperlink" Target="https://www.simonandschuster.com/books/MONEY-Master-the-Game/Tony-Robbins/Tony-Robbins-Financial-Freedom-Series/9781476757872" TargetMode="External"/><Relationship Id="rId50" Type="http://schemas.openxmlformats.org/officeDocument/2006/relationships/hyperlink" Target="https://www.ireallytrade.com/" TargetMode="External"/><Relationship Id="rId51" Type="http://schemas.openxmlformats.org/officeDocument/2006/relationships/hyperlink" Target="https://www.ireallytrade.com/nj-indicators/" TargetMode="External"/><Relationship Id="rId52" Type="http://schemas.openxmlformats.org/officeDocument/2006/relationships/hyperlink" Target="https://www.worldcupchampionships.com/world-cup-trading-championship-historical-standings" TargetMode="External"/><Relationship Id="rId53" Type="http://schemas.openxmlformats.org/officeDocument/2006/relationships/hyperlink" Target="https://www.mheducation.com/highered/mhp/product/trade-like-stock-market-wizard-how-achieve-super-performance-stocks-any-market.html" TargetMode="External"/><Relationship Id="rId54" Type="http://schemas.openxmlformats.org/officeDocument/2006/relationships/hyperlink" Target="https://www.minervini.com/" TargetMode="External"/><Relationship Id="rId55" Type="http://schemas.openxmlformats.org/officeDocument/2006/relationships/hyperlink" Target="https://lindaraschke.net/wp-content/uploads/2026/03/raschke_pt2_0304.pdf" TargetMode="External"/><Relationship Id="rId56" Type="http://schemas.openxmlformats.org/officeDocument/2006/relationships/hyperlink" Target="https://lindaraschke.net/" TargetMode="External"/><Relationship Id="rId57" Type="http://schemas.openxmlformats.org/officeDocument/2006/relationships/hyperlink" Target="https://www.mheducation.com/highered/mhp/product/how-make-money-stocks-winning-system-good-times-bad-fourth-edition.html" TargetMode="External"/><Relationship Id="rId58" Type="http://schemas.openxmlformats.org/officeDocument/2006/relationships/hyperlink" Target="https://wjolegacy.williamoneil.com/" TargetMode="External"/><Relationship Id="rId59" Type="http://schemas.openxmlformats.org/officeDocument/2006/relationships/hyperlink" Target="https://www.kadokawa.co.jp/product/321802000178/" TargetMode="External"/><Relationship Id="rId60" Type="http://schemas.openxmlformats.org/officeDocument/2006/relationships/hyperlink" Target="https://www.kadokawa.co.jp/topics/2730/" TargetMode="External"/><Relationship Id="rId61" Type="http://schemas.openxmlformats.org/officeDocument/2006/relationships/hyperlink" Target="https://www.pearson.com/en-ca/subject-catalog/p/investing-against-the-tide/P200000009635/9781292129280" TargetMode="External"/><Relationship Id="rId62" Type="http://schemas.openxmlformats.org/officeDocument/2006/relationships/hyperlink" Target="https://www.investorschronicle.co.uk/content/506e4e45-9cd2-56bd-a79c-853c7fb53af9" TargetMode="External"/><Relationship Id="rId63" Type="http://schemas.openxmlformats.org/officeDocument/2006/relationships/hyperlink" Target="https://www.cfauk.org/events/the-exchange-in-conversation-with-anthony-bolton" TargetMode="External"/><Relationship Id="rId64" Type="http://schemas.openxmlformats.org/officeDocument/2006/relationships/hyperlink" Target="https://www.ksplindia.com/" TargetMode="External"/><Relationship Id="rId65" Type="http://schemas.openxmlformats.org/officeDocument/2006/relationships/hyperlink" Target="https://www.vijaykedia.co/" TargetMode="External"/><Relationship Id="rId66" Type="http://schemas.openxmlformats.org/officeDocument/2006/relationships/hyperlink" Target="https://www.verdeasset.com.br/public/files/rel_gestao/158094/Verde-REL-2023_11.pdf" TargetMode="External"/><Relationship Id="rId67" Type="http://schemas.openxmlformats.org/officeDocument/2006/relationships/hyperlink" Target="https://www.verdeasset.com.br/public/files/infos_regulatorias/VerdeAM-Politica_Gestao_Risco.pdf" TargetMode="External"/><Relationship Id="rId68" Type="http://schemas.openxmlformats.org/officeDocument/2006/relationships/hyperlink" Target="https://www.verdeasset.com.br/" TargetMode="External"/><Relationship Id="rId69" Type="http://schemas.openxmlformats.org/officeDocument/2006/relationships/hyperlink" Target="https://www.thechartist.com.au/an-effective-mean-reversion-system-part-2/" TargetMode="External"/><Relationship Id="rId70" Type="http://schemas.openxmlformats.org/officeDocument/2006/relationships/hyperlink" Target="https://www.thechartist.com.au/algo-trading-strategies-2/" TargetMode="External"/><Relationship Id="rId71" Type="http://schemas.openxmlformats.org/officeDocument/2006/relationships/hyperlink" Target="https://www.thechartist.com.au/images/pdfs/Nick_Radge_Bio_2016.pdf" TargetMode="External"/><Relationship Id="rId72" Type="http://schemas.openxmlformats.org/officeDocument/2006/relationships/hyperlink" Target="https://sprott.com/about-us/who-we-are/" TargetMode="External"/><Relationship Id="rId73" Type="http://schemas.openxmlformats.org/officeDocument/2006/relationships/hyperlink" Target="https://sprott.com/insights/silver-conference-featuring-maria-smirnova-sprott-cio/" TargetMode="External"/><Relationship Id="rId74" Type="http://schemas.openxmlformats.org/officeDocument/2006/relationships/hyperlink" Target="https://sprott.com/media/1257/sii-aif-for-ye-2011.pdf" TargetMode="External"/><Relationship Id="rId75" Type="http://schemas.openxmlformats.org/officeDocument/2006/relationships/hyperlink" Target="https://www.followingthetrend.com/about/" TargetMode="External"/><Relationship Id="rId76" Type="http://schemas.openxmlformats.org/officeDocument/2006/relationships/hyperlink" Target="https://www.followingthetrend.com/the-trading-system/trading-system-rules/" TargetMode="External"/><Relationship Id="rId77" Type="http://schemas.openxmlformats.org/officeDocument/2006/relationships/hyperlink" Target="https://www.followingthetrend.com/stocks-on-the-move/" TargetMode="External"/><Relationship Id="rId78" Type="http://schemas.openxmlformats.org/officeDocument/2006/relationships/hyperlink" Target="https://cryptohayes.substack.com/p/atencion" TargetMode="External"/><Relationship Id="rId79" Type="http://schemas.openxmlformats.org/officeDocument/2006/relationships/hyperlink" Target="https://cryptohayes.substack.com/p/the-easy-button" TargetMode="External"/><Relationship Id="rId80" Type="http://schemas.openxmlformats.org/officeDocument/2006/relationships/hyperlink" Target="https://cryptohayes.substack.com/" TargetMode="External"/><Relationship Id="rId81" Type="http://schemas.openxmlformats.org/officeDocument/2006/relationships/hyperlink" Target="https://unchainedcrypto.com/how-to-value-a-crypto-asset/" TargetMode="External"/><Relationship Id="rId82" Type="http://schemas.openxmlformats.org/officeDocument/2006/relationships/hyperlink" Target="https://token2049.com/previous-sessions/cryptoasset-valuations-past-present-and-future---chris-burniske-token2049-39891" TargetMode="External"/><Relationship Id="rId83" Type="http://schemas.openxmlformats.org/officeDocument/2006/relationships/hyperlink" Target="https://www.placeholder.vc/" TargetMode="External"/><Relationship Id="rId84" Type="http://schemas.openxmlformats.org/officeDocument/2006/relationships/hyperlink" Target="https://unchainedcrypto.com/ari-paul-on-why-bitcoin-is-a-good-value-buy-today-ep-95/" TargetMode="External"/><Relationship Id="rId85" Type="http://schemas.openxmlformats.org/officeDocument/2006/relationships/hyperlink" Target="https://archive2.salt.org/talks/library/future-of-crypto-144" TargetMode="External"/><Relationship Id="rId86" Type="http://schemas.openxmlformats.org/officeDocument/2006/relationships/hyperlink" Target="https://www.realvision.com/ari-paul-discerning-the-phases-of-a-crypto-bull-market" TargetMode="External"/><Relationship Id="rId8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全球交易风格智能体候选库与平台方案</dc:title>
  <dc:subject>全球交易风格智能体候选研究和比赛方案</dc:subject>
  <dc:creator/>
  <cp:keywords>交易智能体 全球股票 期货 加密资产 研究方案</cp:keywords>
  <dc:description/>
  <cp:lastModifiedBy/>
  <cp:revision>1</cp:revision>
  <dcterms:created xsi:type="dcterms:W3CDTF">2013-12-23T23:15:00Z</dcterms:created>
  <dcterms:modified xsi:type="dcterms:W3CDTF">2013-12-23T23:15:00Z</dcterms:modified>
  <cp:category/>
</cp:coreProperties>
</file>